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68426487">
            <wp:simplePos x="0" y="0"/>
            <wp:positionH relativeFrom="page">
              <wp:posOffset>343038</wp:posOffset>
            </wp:positionH>
            <wp:positionV relativeFrom="page">
              <wp:posOffset>6347</wp:posOffset>
            </wp:positionV>
            <wp:extent cx="7217525" cy="1068603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217525" cy="10686036"/>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6"/>
        </w:rPr>
      </w:pPr>
    </w:p>
    <w:p>
      <w:pPr>
        <w:spacing w:before="75"/>
        <w:ind w:left="159" w:right="2404" w:firstLine="0"/>
        <w:jc w:val="left"/>
        <w:rPr>
          <w:sz w:val="74"/>
        </w:rPr>
      </w:pPr>
      <w:r>
        <w:rPr>
          <w:color w:val="5A646A"/>
          <w:sz w:val="74"/>
        </w:rPr>
        <w:t>ILM Appeals and Results Enquiry Policy</w:t>
      </w:r>
    </w:p>
    <w:p>
      <w:pPr>
        <w:pStyle w:val="BodyText"/>
        <w:spacing w:before="452"/>
        <w:ind w:left="159"/>
      </w:pPr>
      <w:r>
        <w:rPr>
          <w:color w:val="5A646A"/>
        </w:rPr>
        <w:t>Revised February 2012</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0"/>
        <w:rPr>
          <w:sz w:val="27"/>
        </w:rPr>
      </w:pPr>
    </w:p>
    <w:p>
      <w:pPr>
        <w:spacing w:before="0"/>
        <w:ind w:left="108" w:right="0" w:firstLine="0"/>
        <w:jc w:val="left"/>
        <w:rPr>
          <w:sz w:val="20"/>
        </w:rPr>
      </w:pPr>
      <w:r>
        <w:rPr>
          <w:color w:val="717E89"/>
          <w:sz w:val="20"/>
        </w:rPr>
        <w:t>© The Institute of Leadership and Management (ILM) 2012</w:t>
      </w:r>
    </w:p>
    <w:p>
      <w:pPr>
        <w:spacing w:after="0"/>
        <w:jc w:val="left"/>
        <w:rPr>
          <w:sz w:val="20"/>
        </w:rPr>
        <w:sectPr>
          <w:type w:val="continuous"/>
          <w:pgSz w:w="11910" w:h="16840"/>
          <w:pgMar w:top="1580" w:bottom="280" w:left="520" w:right="580"/>
        </w:sectPr>
      </w:pPr>
    </w:p>
    <w:p>
      <w:pPr>
        <w:pStyle w:val="Heading1"/>
      </w:pPr>
      <w:r>
        <w:rPr>
          <w:color w:val="5A646A"/>
        </w:rPr>
        <w:t>Table of Contents</w:t>
      </w:r>
    </w:p>
    <w:sdt>
      <w:sdtPr>
        <w:docPartObj>
          <w:docPartGallery w:val="Table of Contents"/>
          <w:docPartUnique/>
        </w:docPartObj>
      </w:sdtPr>
      <w:sdtEndPr/>
      <w:sdtContent>
        <w:p>
          <w:pPr>
            <w:pStyle w:val="TOC1"/>
            <w:tabs>
              <w:tab w:pos="9677" w:val="right" w:leader="none"/>
            </w:tabs>
            <w:spacing w:before="733"/>
          </w:pPr>
          <w:hyperlink w:history="true" w:anchor="_TOC_250017">
            <w:r>
              <w:rPr/>
              <w:t>ILM</w:t>
            </w:r>
            <w:r>
              <w:rPr>
                <w:spacing w:val="-1"/>
              </w:rPr>
              <w:t> </w:t>
            </w:r>
            <w:r>
              <w:rPr/>
              <w:t>Appeals</w:t>
            </w:r>
            <w:r>
              <w:rPr>
                <w:spacing w:val="-1"/>
              </w:rPr>
              <w:t> </w:t>
            </w:r>
            <w:r>
              <w:rPr/>
              <w:t>Policy</w:t>
              <w:tab/>
              <w:t>3</w:t>
            </w:r>
          </w:hyperlink>
        </w:p>
        <w:p>
          <w:pPr>
            <w:pStyle w:val="TOC2"/>
            <w:numPr>
              <w:ilvl w:val="1"/>
              <w:numId w:val="1"/>
            </w:numPr>
            <w:tabs>
              <w:tab w:pos="1012" w:val="left" w:leader="none"/>
              <w:tab w:pos="9643" w:val="right" w:leader="none"/>
            </w:tabs>
            <w:spacing w:line="240" w:lineRule="auto" w:before="169" w:after="0"/>
            <w:ind w:left="1011" w:right="0" w:hanging="425"/>
            <w:jc w:val="left"/>
          </w:pPr>
          <w:hyperlink w:history="true" w:anchor="_TOC_250016">
            <w:r>
              <w:rPr/>
              <w:t>Scope</w:t>
              <w:tab/>
              <w:t>3</w:t>
            </w:r>
          </w:hyperlink>
        </w:p>
        <w:p>
          <w:pPr>
            <w:pStyle w:val="TOC2"/>
            <w:numPr>
              <w:ilvl w:val="1"/>
              <w:numId w:val="1"/>
            </w:numPr>
            <w:tabs>
              <w:tab w:pos="1012" w:val="left" w:leader="none"/>
              <w:tab w:pos="9643" w:val="right" w:leader="none"/>
            </w:tabs>
            <w:spacing w:line="240" w:lineRule="auto" w:before="121" w:after="0"/>
            <w:ind w:left="1011" w:right="0" w:hanging="425"/>
            <w:jc w:val="left"/>
          </w:pPr>
          <w:hyperlink w:history="true" w:anchor="_TOC_250015">
            <w:r>
              <w:rPr/>
              <w:t>Definition</w:t>
            </w:r>
            <w:r>
              <w:rPr>
                <w:spacing w:val="-1"/>
              </w:rPr>
              <w:t> </w:t>
            </w:r>
            <w:r>
              <w:rPr/>
              <w:t>–</w:t>
            </w:r>
            <w:r>
              <w:rPr>
                <w:spacing w:val="-2"/>
              </w:rPr>
              <w:t> </w:t>
            </w:r>
            <w:r>
              <w:rPr/>
              <w:t>appeals</w:t>
              <w:tab/>
              <w:t>3</w:t>
            </w:r>
          </w:hyperlink>
        </w:p>
        <w:p>
          <w:pPr>
            <w:pStyle w:val="TOC2"/>
            <w:numPr>
              <w:ilvl w:val="1"/>
              <w:numId w:val="1"/>
            </w:numPr>
            <w:tabs>
              <w:tab w:pos="1012" w:val="left" w:leader="none"/>
              <w:tab w:pos="9643" w:val="right" w:leader="none"/>
            </w:tabs>
            <w:spacing w:line="240" w:lineRule="auto" w:before="119" w:after="0"/>
            <w:ind w:left="1011" w:right="0" w:hanging="425"/>
            <w:jc w:val="left"/>
          </w:pPr>
          <w:hyperlink w:history="true" w:anchor="_TOC_250014">
            <w:r>
              <w:rPr/>
              <w:t>Out</w:t>
            </w:r>
            <w:r>
              <w:rPr>
                <w:spacing w:val="-1"/>
              </w:rPr>
              <w:t> </w:t>
            </w:r>
            <w:r>
              <w:rPr/>
              <w:t>of</w:t>
            </w:r>
            <w:r>
              <w:rPr>
                <w:spacing w:val="2"/>
              </w:rPr>
              <w:t> </w:t>
            </w:r>
            <w:r>
              <w:rPr/>
              <w:t>scope</w:t>
              <w:tab/>
              <w:t>4</w:t>
            </w:r>
          </w:hyperlink>
        </w:p>
        <w:p>
          <w:pPr>
            <w:pStyle w:val="TOC2"/>
            <w:numPr>
              <w:ilvl w:val="1"/>
              <w:numId w:val="1"/>
            </w:numPr>
            <w:tabs>
              <w:tab w:pos="1012" w:val="left" w:leader="none"/>
              <w:tab w:pos="9643" w:val="right" w:leader="none"/>
            </w:tabs>
            <w:spacing w:line="240" w:lineRule="auto" w:before="122" w:after="0"/>
            <w:ind w:left="1011" w:right="0" w:hanging="425"/>
            <w:jc w:val="left"/>
          </w:pPr>
          <w:hyperlink w:history="true" w:anchor="_TOC_250013">
            <w:r>
              <w:rPr/>
              <w:t>Fees</w:t>
              <w:tab/>
              <w:t>4</w:t>
            </w:r>
          </w:hyperlink>
        </w:p>
        <w:p>
          <w:pPr>
            <w:pStyle w:val="TOC2"/>
            <w:numPr>
              <w:ilvl w:val="1"/>
              <w:numId w:val="1"/>
            </w:numPr>
            <w:tabs>
              <w:tab w:pos="1012" w:val="left" w:leader="none"/>
              <w:tab w:pos="9643" w:val="right" w:leader="none"/>
            </w:tabs>
            <w:spacing w:line="240" w:lineRule="auto" w:before="119" w:after="0"/>
            <w:ind w:left="1011" w:right="0" w:hanging="425"/>
            <w:jc w:val="left"/>
          </w:pPr>
          <w:hyperlink w:history="true" w:anchor="_TOC_250012">
            <w:r>
              <w:rPr/>
              <w:t>Process</w:t>
              <w:tab/>
              <w:t>4</w:t>
            </w:r>
          </w:hyperlink>
        </w:p>
        <w:p>
          <w:pPr>
            <w:pStyle w:val="TOC2"/>
            <w:numPr>
              <w:ilvl w:val="1"/>
              <w:numId w:val="1"/>
            </w:numPr>
            <w:tabs>
              <w:tab w:pos="1012" w:val="left" w:leader="none"/>
              <w:tab w:pos="9643" w:val="right" w:leader="none"/>
            </w:tabs>
            <w:spacing w:line="240" w:lineRule="auto" w:before="119" w:after="0"/>
            <w:ind w:left="1011" w:right="0" w:hanging="425"/>
            <w:jc w:val="left"/>
          </w:pPr>
          <w:hyperlink w:history="true" w:anchor="_TOC_250011">
            <w:r>
              <w:rPr/>
              <w:t>Lodging</w:t>
            </w:r>
            <w:r>
              <w:rPr>
                <w:spacing w:val="1"/>
              </w:rPr>
              <w:t> </w:t>
            </w:r>
            <w:r>
              <w:rPr/>
              <w:t>appeals</w:t>
              <w:tab/>
              <w:t>5</w:t>
            </w:r>
          </w:hyperlink>
        </w:p>
        <w:p>
          <w:pPr>
            <w:pStyle w:val="TOC2"/>
            <w:numPr>
              <w:ilvl w:val="1"/>
              <w:numId w:val="1"/>
            </w:numPr>
            <w:tabs>
              <w:tab w:pos="1012" w:val="left" w:leader="none"/>
              <w:tab w:pos="9643" w:val="right" w:leader="none"/>
            </w:tabs>
            <w:spacing w:line="240" w:lineRule="auto" w:before="122" w:after="0"/>
            <w:ind w:left="1011" w:right="0" w:hanging="425"/>
            <w:jc w:val="left"/>
          </w:pPr>
          <w:hyperlink w:history="true" w:anchor="_TOC_250010">
            <w:r>
              <w:rPr/>
              <w:t>Outcome</w:t>
            </w:r>
            <w:r>
              <w:rPr>
                <w:spacing w:val="-3"/>
              </w:rPr>
              <w:t> </w:t>
            </w:r>
            <w:r>
              <w:rPr/>
              <w:t>and action</w:t>
              <w:tab/>
              <w:t>5</w:t>
            </w:r>
          </w:hyperlink>
        </w:p>
        <w:p>
          <w:pPr>
            <w:pStyle w:val="TOC2"/>
            <w:numPr>
              <w:ilvl w:val="1"/>
              <w:numId w:val="1"/>
            </w:numPr>
            <w:tabs>
              <w:tab w:pos="1012" w:val="left" w:leader="none"/>
              <w:tab w:pos="9643" w:val="right" w:leader="none"/>
            </w:tabs>
            <w:spacing w:line="240" w:lineRule="auto" w:before="119" w:after="0"/>
            <w:ind w:left="1011" w:right="0" w:hanging="425"/>
            <w:jc w:val="left"/>
          </w:pPr>
          <w:hyperlink w:history="true" w:anchor="_TOC_250009">
            <w:r>
              <w:rPr/>
              <w:t>Escalation</w:t>
              <w:tab/>
              <w:t>6</w:t>
            </w:r>
          </w:hyperlink>
        </w:p>
        <w:p>
          <w:pPr>
            <w:pStyle w:val="TOC2"/>
            <w:numPr>
              <w:ilvl w:val="1"/>
              <w:numId w:val="1"/>
            </w:numPr>
            <w:tabs>
              <w:tab w:pos="1012" w:val="left" w:leader="none"/>
              <w:tab w:pos="9643" w:val="right" w:leader="none"/>
            </w:tabs>
            <w:spacing w:line="240" w:lineRule="auto" w:before="121" w:after="0"/>
            <w:ind w:left="1011" w:right="0" w:hanging="425"/>
            <w:jc w:val="left"/>
          </w:pPr>
          <w:hyperlink w:history="true" w:anchor="_TOC_250008">
            <w:r>
              <w:rPr/>
              <w:t>Continuous Improvement</w:t>
              <w:tab/>
              <w:t>6</w:t>
            </w:r>
          </w:hyperlink>
        </w:p>
        <w:p>
          <w:pPr>
            <w:pStyle w:val="TOC1"/>
            <w:tabs>
              <w:tab w:pos="9677" w:val="right" w:leader="none"/>
            </w:tabs>
          </w:pPr>
          <w:hyperlink w:history="true" w:anchor="_TOC_250007">
            <w:r>
              <w:rPr/>
              <w:t>ILM Assessment Marks Enquiries Policy –</w:t>
            </w:r>
            <w:r>
              <w:rPr>
                <w:spacing w:val="-2"/>
              </w:rPr>
              <w:t> </w:t>
            </w:r>
            <w:r>
              <w:rPr/>
              <w:t>Subset</w:t>
            </w:r>
            <w:r>
              <w:rPr>
                <w:spacing w:val="-1"/>
              </w:rPr>
              <w:t> </w:t>
            </w:r>
            <w:r>
              <w:rPr/>
              <w:t>Appeals</w:t>
              <w:tab/>
              <w:t>7</w:t>
            </w:r>
          </w:hyperlink>
        </w:p>
        <w:p>
          <w:pPr>
            <w:pStyle w:val="TOC3"/>
            <w:numPr>
              <w:ilvl w:val="1"/>
              <w:numId w:val="2"/>
            </w:numPr>
            <w:tabs>
              <w:tab w:pos="1075" w:val="left" w:leader="none"/>
              <w:tab w:pos="9643" w:val="right" w:leader="none"/>
            </w:tabs>
            <w:spacing w:line="240" w:lineRule="auto" w:before="171" w:after="0"/>
            <w:ind w:left="1074" w:right="0" w:hanging="423"/>
            <w:jc w:val="left"/>
          </w:pPr>
          <w:hyperlink w:history="true" w:anchor="_TOC_250006">
            <w:r>
              <w:rPr/>
              <w:t>Scope</w:t>
              <w:tab/>
              <w:t>7</w:t>
            </w:r>
          </w:hyperlink>
        </w:p>
        <w:p>
          <w:pPr>
            <w:pStyle w:val="TOC3"/>
            <w:numPr>
              <w:ilvl w:val="1"/>
              <w:numId w:val="2"/>
            </w:numPr>
            <w:tabs>
              <w:tab w:pos="1075" w:val="left" w:leader="none"/>
              <w:tab w:pos="9643" w:val="right" w:leader="none"/>
            </w:tabs>
            <w:spacing w:line="240" w:lineRule="auto" w:before="119" w:after="0"/>
            <w:ind w:left="1074" w:right="0" w:hanging="423"/>
            <w:jc w:val="left"/>
          </w:pPr>
          <w:hyperlink w:history="true" w:anchor="_TOC_250005">
            <w:r>
              <w:rPr/>
              <w:t>Definition – enquiries</w:t>
              <w:tab/>
              <w:t>7</w:t>
            </w:r>
          </w:hyperlink>
        </w:p>
        <w:p>
          <w:pPr>
            <w:pStyle w:val="TOC3"/>
            <w:numPr>
              <w:ilvl w:val="1"/>
              <w:numId w:val="2"/>
            </w:numPr>
            <w:tabs>
              <w:tab w:pos="1075" w:val="left" w:leader="none"/>
              <w:tab w:pos="9643" w:val="right" w:leader="none"/>
            </w:tabs>
            <w:spacing w:line="240" w:lineRule="auto" w:before="120" w:after="0"/>
            <w:ind w:left="1074" w:right="0" w:hanging="423"/>
            <w:jc w:val="left"/>
          </w:pPr>
          <w:hyperlink w:history="true" w:anchor="_TOC_250004">
            <w:r>
              <w:rPr/>
              <w:t>Out</w:t>
            </w:r>
            <w:r>
              <w:rPr>
                <w:spacing w:val="1"/>
              </w:rPr>
              <w:t> </w:t>
            </w:r>
            <w:r>
              <w:rPr/>
              <w:t>of</w:t>
            </w:r>
            <w:r>
              <w:rPr>
                <w:spacing w:val="-1"/>
              </w:rPr>
              <w:t> </w:t>
            </w:r>
            <w:r>
              <w:rPr/>
              <w:t>scope</w:t>
              <w:tab/>
              <w:t>7</w:t>
            </w:r>
          </w:hyperlink>
        </w:p>
        <w:p>
          <w:pPr>
            <w:pStyle w:val="TOC3"/>
            <w:numPr>
              <w:ilvl w:val="1"/>
              <w:numId w:val="2"/>
            </w:numPr>
            <w:tabs>
              <w:tab w:pos="1075" w:val="left" w:leader="none"/>
              <w:tab w:pos="9643" w:val="right" w:leader="none"/>
            </w:tabs>
            <w:spacing w:line="240" w:lineRule="auto" w:before="121" w:after="0"/>
            <w:ind w:left="1074" w:right="0" w:hanging="423"/>
            <w:jc w:val="left"/>
          </w:pPr>
          <w:hyperlink w:history="true" w:anchor="_TOC_250003">
            <w:r>
              <w:rPr/>
              <w:t>Lodging</w:t>
            </w:r>
            <w:r>
              <w:rPr>
                <w:spacing w:val="-1"/>
              </w:rPr>
              <w:t> </w:t>
            </w:r>
            <w:r>
              <w:rPr/>
              <w:t>enquiries</w:t>
              <w:tab/>
              <w:t>7</w:t>
            </w:r>
          </w:hyperlink>
        </w:p>
        <w:p>
          <w:pPr>
            <w:pStyle w:val="TOC3"/>
            <w:numPr>
              <w:ilvl w:val="1"/>
              <w:numId w:val="2"/>
            </w:numPr>
            <w:tabs>
              <w:tab w:pos="1075" w:val="left" w:leader="none"/>
              <w:tab w:pos="9643" w:val="right" w:leader="none"/>
            </w:tabs>
            <w:spacing w:line="240" w:lineRule="auto" w:before="119" w:after="0"/>
            <w:ind w:left="1074" w:right="0" w:hanging="423"/>
            <w:jc w:val="left"/>
          </w:pPr>
          <w:hyperlink w:history="true" w:anchor="_TOC_250002">
            <w:r>
              <w:rPr/>
              <w:t>Outcome</w:t>
              <w:tab/>
              <w:t>7</w:t>
            </w:r>
          </w:hyperlink>
        </w:p>
        <w:p>
          <w:pPr>
            <w:pStyle w:val="TOC3"/>
            <w:numPr>
              <w:ilvl w:val="1"/>
              <w:numId w:val="2"/>
            </w:numPr>
            <w:tabs>
              <w:tab w:pos="1075" w:val="left" w:leader="none"/>
              <w:tab w:pos="9643" w:val="right" w:leader="none"/>
            </w:tabs>
            <w:spacing w:line="240" w:lineRule="auto" w:before="121" w:after="0"/>
            <w:ind w:left="1074" w:right="0" w:hanging="423"/>
            <w:jc w:val="left"/>
          </w:pPr>
          <w:hyperlink w:history="true" w:anchor="_TOC_250001">
            <w:r>
              <w:rPr/>
              <w:t>Action</w:t>
              <w:tab/>
              <w:t>8</w:t>
            </w:r>
          </w:hyperlink>
        </w:p>
        <w:p>
          <w:pPr>
            <w:pStyle w:val="TOC3"/>
            <w:numPr>
              <w:ilvl w:val="1"/>
              <w:numId w:val="2"/>
            </w:numPr>
            <w:tabs>
              <w:tab w:pos="1012" w:val="left" w:leader="none"/>
              <w:tab w:pos="9643" w:val="right" w:leader="none"/>
            </w:tabs>
            <w:spacing w:line="240" w:lineRule="auto" w:before="119" w:after="0"/>
            <w:ind w:left="1011" w:right="0" w:hanging="360"/>
            <w:jc w:val="left"/>
          </w:pPr>
          <w:hyperlink w:history="true" w:anchor="_TOC_250000">
            <w:r>
              <w:rPr/>
              <w:t>Continuous improvement</w:t>
              <w:tab/>
              <w:t>8</w:t>
            </w:r>
          </w:hyperlink>
        </w:p>
      </w:sdtContent>
    </w:sdt>
    <w:p>
      <w:pPr>
        <w:spacing w:after="0" w:line="240" w:lineRule="auto"/>
        <w:jc w:val="left"/>
        <w:sectPr>
          <w:headerReference w:type="default" r:id="rId6"/>
          <w:pgSz w:w="11910" w:h="16840"/>
          <w:pgMar w:header="749" w:footer="0" w:top="1400" w:bottom="280" w:left="520" w:right="580"/>
          <w:pgNumType w:start="2"/>
        </w:sectPr>
      </w:pPr>
    </w:p>
    <w:p>
      <w:pPr>
        <w:pStyle w:val="Heading1"/>
        <w:spacing w:before="293"/>
      </w:pPr>
      <w:bookmarkStart w:name="_TOC_250017" w:id="1"/>
      <w:bookmarkEnd w:id="1"/>
      <w:r>
        <w:rPr>
          <w:color w:val="5A646A"/>
        </w:rPr>
        <w:t>ILM Appeals Policy</w:t>
      </w:r>
    </w:p>
    <w:p>
      <w:pPr>
        <w:pStyle w:val="BodyText"/>
        <w:spacing w:before="6"/>
        <w:rPr>
          <w:b/>
          <w:sz w:val="56"/>
        </w:rPr>
      </w:pPr>
    </w:p>
    <w:p>
      <w:pPr>
        <w:pStyle w:val="BodyText"/>
        <w:ind w:left="159" w:right="713"/>
      </w:pPr>
      <w:r>
        <w:rPr>
          <w:b/>
        </w:rPr>
        <w:t>Note: </w:t>
      </w:r>
      <w:r>
        <w:rPr/>
        <w:t>This policy replaces the Appeals policy contained within the ILM Centre Manual – October 2010 (Reference: section 6.2)</w:t>
      </w:r>
    </w:p>
    <w:p>
      <w:pPr>
        <w:pStyle w:val="BodyText"/>
        <w:rPr>
          <w:sz w:val="24"/>
        </w:rPr>
      </w:pPr>
    </w:p>
    <w:p>
      <w:pPr>
        <w:pStyle w:val="BodyText"/>
        <w:spacing w:before="10"/>
        <w:rPr>
          <w:sz w:val="29"/>
        </w:rPr>
      </w:pPr>
    </w:p>
    <w:p>
      <w:pPr>
        <w:pStyle w:val="Heading2"/>
        <w:numPr>
          <w:ilvl w:val="1"/>
          <w:numId w:val="3"/>
        </w:numPr>
        <w:tabs>
          <w:tab w:pos="529" w:val="left" w:leader="none"/>
        </w:tabs>
        <w:spacing w:line="240" w:lineRule="auto" w:before="0" w:after="0"/>
        <w:ind w:left="528" w:right="0" w:hanging="369"/>
        <w:jc w:val="left"/>
      </w:pPr>
      <w:bookmarkStart w:name="_TOC_250016" w:id="2"/>
      <w:bookmarkEnd w:id="2"/>
      <w:r>
        <w:rPr/>
        <w:t>Scope</w:t>
      </w:r>
    </w:p>
    <w:p>
      <w:pPr>
        <w:pStyle w:val="BodyText"/>
        <w:rPr>
          <w:b/>
          <w:sz w:val="21"/>
        </w:rPr>
      </w:pPr>
    </w:p>
    <w:p>
      <w:pPr>
        <w:pStyle w:val="BodyText"/>
        <w:spacing w:line="276" w:lineRule="auto"/>
        <w:ind w:left="159" w:right="176"/>
      </w:pPr>
      <w:r>
        <w:rPr/>
        <w:t>This policy applies to all centres and providers offering ILM regulated qualifications (e.g. VRQs, NVQs, SVQs), endorsed programmes and other non-regulated products (e.g. IQUALS, FAMP) and, within ILM, our External Verifiers undertaking training to be licensed for one of our products.. The policy provides definition and examples of appeals which may occur for centres, providers, learners or, internally, to ILM External Verifiers. The process for making appeals is described – although we expect a learner to exhaust their centre or provider’s process before referring to ILM.</w:t>
      </w:r>
    </w:p>
    <w:p>
      <w:pPr>
        <w:pStyle w:val="BodyText"/>
        <w:spacing w:before="3"/>
        <w:rPr>
          <w:sz w:val="25"/>
        </w:rPr>
      </w:pPr>
    </w:p>
    <w:p>
      <w:pPr>
        <w:pStyle w:val="BodyText"/>
        <w:spacing w:line="276" w:lineRule="auto"/>
        <w:ind w:left="159" w:right="297"/>
      </w:pPr>
      <w:r>
        <w:rPr/>
        <w:t>This ILM policy is provided for two purposes – to guide you in how to approach ILM as well as to provide centres and providers with an example of how you might develop and structure your own policy statement.</w:t>
      </w:r>
    </w:p>
    <w:p>
      <w:pPr>
        <w:pStyle w:val="BodyText"/>
        <w:rPr>
          <w:sz w:val="24"/>
        </w:rPr>
      </w:pPr>
    </w:p>
    <w:p>
      <w:pPr>
        <w:pStyle w:val="BodyText"/>
        <w:spacing w:before="5"/>
        <w:rPr>
          <w:sz w:val="26"/>
        </w:rPr>
      </w:pPr>
    </w:p>
    <w:p>
      <w:pPr>
        <w:pStyle w:val="Heading2"/>
        <w:numPr>
          <w:ilvl w:val="1"/>
          <w:numId w:val="3"/>
        </w:numPr>
        <w:tabs>
          <w:tab w:pos="529" w:val="left" w:leader="none"/>
        </w:tabs>
        <w:spacing w:line="240" w:lineRule="auto" w:before="0" w:after="0"/>
        <w:ind w:left="528" w:right="0" w:hanging="369"/>
        <w:jc w:val="left"/>
      </w:pPr>
      <w:bookmarkStart w:name="_TOC_250015" w:id="3"/>
      <w:r>
        <w:rPr/>
        <w:t>Definition –</w:t>
      </w:r>
      <w:r>
        <w:rPr>
          <w:spacing w:val="-4"/>
        </w:rPr>
        <w:t> </w:t>
      </w:r>
      <w:bookmarkEnd w:id="3"/>
      <w:r>
        <w:rPr/>
        <w:t>appeals</w:t>
      </w:r>
    </w:p>
    <w:p>
      <w:pPr>
        <w:pStyle w:val="BodyText"/>
        <w:spacing w:before="8"/>
        <w:rPr>
          <w:b/>
          <w:sz w:val="28"/>
        </w:rPr>
      </w:pPr>
    </w:p>
    <w:p>
      <w:pPr>
        <w:pStyle w:val="BodyText"/>
        <w:ind w:left="159"/>
      </w:pPr>
      <w:r>
        <w:rPr/>
        <w:t>Appeals may be made against a range of issues relating to ILM qualifications and assessment:</w:t>
      </w:r>
    </w:p>
    <w:p>
      <w:pPr>
        <w:pStyle w:val="ListParagraph"/>
        <w:numPr>
          <w:ilvl w:val="2"/>
          <w:numId w:val="3"/>
        </w:numPr>
        <w:tabs>
          <w:tab w:pos="879" w:val="left" w:leader="none"/>
          <w:tab w:pos="880" w:val="left" w:leader="none"/>
        </w:tabs>
        <w:spacing w:line="240" w:lineRule="auto" w:before="40" w:after="0"/>
        <w:ind w:left="879" w:right="0" w:hanging="360"/>
        <w:jc w:val="left"/>
        <w:rPr>
          <w:sz w:val="22"/>
        </w:rPr>
      </w:pPr>
      <w:r>
        <w:rPr>
          <w:sz w:val="22"/>
        </w:rPr>
        <w:t>Results of assessments – decisions made by the centre and/or</w:t>
      </w:r>
      <w:r>
        <w:rPr>
          <w:spacing w:val="-11"/>
          <w:sz w:val="22"/>
        </w:rPr>
        <w:t> </w:t>
      </w:r>
      <w:r>
        <w:rPr>
          <w:sz w:val="22"/>
        </w:rPr>
        <w:t>ILM</w:t>
      </w:r>
    </w:p>
    <w:p>
      <w:pPr>
        <w:pStyle w:val="ListParagraph"/>
        <w:numPr>
          <w:ilvl w:val="2"/>
          <w:numId w:val="3"/>
        </w:numPr>
        <w:tabs>
          <w:tab w:pos="879" w:val="left" w:leader="none"/>
          <w:tab w:pos="880" w:val="left" w:leader="none"/>
        </w:tabs>
        <w:spacing w:line="273" w:lineRule="auto" w:before="62" w:after="0"/>
        <w:ind w:left="879" w:right="200" w:hanging="360"/>
        <w:jc w:val="left"/>
        <w:rPr>
          <w:sz w:val="22"/>
        </w:rPr>
      </w:pPr>
      <w:r>
        <w:rPr>
          <w:sz w:val="22"/>
        </w:rPr>
        <w:t>Assessment marking – where the result is undisputed and only the percentage mark is questioned – carried out by the centre and/or ILM. This does not include arithmetical errors in marking, which fall under the Enquiries</w:t>
      </w:r>
      <w:r>
        <w:rPr>
          <w:spacing w:val="-4"/>
          <w:sz w:val="22"/>
        </w:rPr>
        <w:t> </w:t>
      </w:r>
      <w:r>
        <w:rPr>
          <w:sz w:val="22"/>
        </w:rPr>
        <w:t>Policy.</w:t>
      </w:r>
    </w:p>
    <w:p>
      <w:pPr>
        <w:pStyle w:val="ListParagraph"/>
        <w:numPr>
          <w:ilvl w:val="2"/>
          <w:numId w:val="3"/>
        </w:numPr>
        <w:tabs>
          <w:tab w:pos="879" w:val="left" w:leader="none"/>
          <w:tab w:pos="880" w:val="left" w:leader="none"/>
        </w:tabs>
        <w:spacing w:line="273" w:lineRule="auto" w:before="30" w:after="0"/>
        <w:ind w:left="879" w:right="709" w:hanging="360"/>
        <w:jc w:val="left"/>
        <w:rPr>
          <w:sz w:val="22"/>
        </w:rPr>
      </w:pPr>
      <w:r>
        <w:rPr>
          <w:sz w:val="22"/>
        </w:rPr>
        <w:t>ILM’s decision to decline a centre’s request for reasonable adjustments, special considerations and/or use of language (other than</w:t>
      </w:r>
      <w:r>
        <w:rPr>
          <w:spacing w:val="-5"/>
          <w:sz w:val="22"/>
        </w:rPr>
        <w:t> </w:t>
      </w:r>
      <w:r>
        <w:rPr>
          <w:sz w:val="22"/>
        </w:rPr>
        <w:t>English)</w:t>
      </w:r>
    </w:p>
    <w:p>
      <w:pPr>
        <w:pStyle w:val="ListParagraph"/>
        <w:numPr>
          <w:ilvl w:val="2"/>
          <w:numId w:val="3"/>
        </w:numPr>
        <w:tabs>
          <w:tab w:pos="879" w:val="left" w:leader="none"/>
          <w:tab w:pos="880" w:val="left" w:leader="none"/>
        </w:tabs>
        <w:spacing w:line="273" w:lineRule="auto" w:before="28" w:after="0"/>
        <w:ind w:left="879" w:right="414" w:hanging="360"/>
        <w:jc w:val="left"/>
        <w:rPr>
          <w:sz w:val="22"/>
        </w:rPr>
      </w:pPr>
      <w:r>
        <w:rPr>
          <w:sz w:val="22"/>
        </w:rPr>
        <w:t>ILM’s actions to be taken following an investigation into malpractice, maladministration, plagiarism and/or</w:t>
      </w:r>
      <w:r>
        <w:rPr>
          <w:spacing w:val="-1"/>
          <w:sz w:val="22"/>
        </w:rPr>
        <w:t> </w:t>
      </w:r>
      <w:r>
        <w:rPr>
          <w:sz w:val="22"/>
        </w:rPr>
        <w:t>cheating</w:t>
      </w:r>
    </w:p>
    <w:p>
      <w:pPr>
        <w:pStyle w:val="ListParagraph"/>
        <w:numPr>
          <w:ilvl w:val="2"/>
          <w:numId w:val="3"/>
        </w:numPr>
        <w:tabs>
          <w:tab w:pos="879" w:val="left" w:leader="none"/>
          <w:tab w:pos="880" w:val="left" w:leader="none"/>
        </w:tabs>
        <w:spacing w:line="240" w:lineRule="auto" w:before="29" w:after="0"/>
        <w:ind w:left="879" w:right="0" w:hanging="360"/>
        <w:jc w:val="left"/>
        <w:rPr>
          <w:sz w:val="22"/>
        </w:rPr>
      </w:pPr>
      <w:r>
        <w:rPr>
          <w:sz w:val="22"/>
        </w:rPr>
        <w:t>The degree of match to ILM units/qualifications identified by an ILM mapping or a RPL</w:t>
      </w:r>
      <w:r>
        <w:rPr>
          <w:spacing w:val="-20"/>
          <w:sz w:val="22"/>
        </w:rPr>
        <w:t> </w:t>
      </w:r>
      <w:r>
        <w:rPr>
          <w:sz w:val="22"/>
        </w:rPr>
        <w:t>exercise</w:t>
      </w:r>
    </w:p>
    <w:p>
      <w:pPr>
        <w:pStyle w:val="BodyText"/>
        <w:spacing w:before="6"/>
        <w:rPr>
          <w:sz w:val="28"/>
        </w:rPr>
      </w:pPr>
    </w:p>
    <w:p>
      <w:pPr>
        <w:pStyle w:val="BodyText"/>
        <w:spacing w:before="1"/>
        <w:ind w:left="159"/>
      </w:pPr>
      <w:r>
        <w:rPr/>
        <w:t>Appeals can be made regarding the results of:</w:t>
      </w:r>
    </w:p>
    <w:p>
      <w:pPr>
        <w:pStyle w:val="ListParagraph"/>
        <w:numPr>
          <w:ilvl w:val="2"/>
          <w:numId w:val="3"/>
        </w:numPr>
        <w:tabs>
          <w:tab w:pos="879" w:val="left" w:leader="none"/>
          <w:tab w:pos="880" w:val="left" w:leader="none"/>
        </w:tabs>
        <w:spacing w:line="240" w:lineRule="auto" w:before="34" w:after="0"/>
        <w:ind w:left="879" w:right="0" w:hanging="360"/>
        <w:jc w:val="left"/>
        <w:rPr>
          <w:sz w:val="22"/>
        </w:rPr>
      </w:pPr>
      <w:r>
        <w:rPr>
          <w:sz w:val="22"/>
        </w:rPr>
        <w:t>ILM qualifications assessed by the centre – VRQs, NVQs or</w:t>
      </w:r>
      <w:r>
        <w:rPr>
          <w:spacing w:val="-6"/>
          <w:sz w:val="22"/>
        </w:rPr>
        <w:t> </w:t>
      </w:r>
      <w:r>
        <w:rPr>
          <w:sz w:val="22"/>
        </w:rPr>
        <w:t>SVQs</w:t>
      </w:r>
    </w:p>
    <w:p>
      <w:pPr>
        <w:pStyle w:val="ListParagraph"/>
        <w:numPr>
          <w:ilvl w:val="2"/>
          <w:numId w:val="3"/>
        </w:numPr>
        <w:tabs>
          <w:tab w:pos="879" w:val="left" w:leader="none"/>
          <w:tab w:pos="880" w:val="left" w:leader="none"/>
        </w:tabs>
        <w:spacing w:line="240" w:lineRule="auto" w:before="67" w:after="0"/>
        <w:ind w:left="879" w:right="0" w:hanging="360"/>
        <w:jc w:val="left"/>
        <w:rPr>
          <w:sz w:val="22"/>
        </w:rPr>
      </w:pPr>
      <w:r>
        <w:rPr>
          <w:sz w:val="22"/>
        </w:rPr>
        <w:t>ILM assessment delivery services (i.e. ILMA and</w:t>
      </w:r>
      <w:r>
        <w:rPr>
          <w:spacing w:val="-6"/>
          <w:sz w:val="22"/>
        </w:rPr>
        <w:t> </w:t>
      </w:r>
      <w:r>
        <w:rPr>
          <w:sz w:val="22"/>
        </w:rPr>
        <w:t>FAMP)</w:t>
      </w:r>
    </w:p>
    <w:p>
      <w:pPr>
        <w:pStyle w:val="ListParagraph"/>
        <w:numPr>
          <w:ilvl w:val="2"/>
          <w:numId w:val="3"/>
        </w:numPr>
        <w:tabs>
          <w:tab w:pos="879" w:val="left" w:leader="none"/>
          <w:tab w:pos="880" w:val="left" w:leader="none"/>
        </w:tabs>
        <w:spacing w:line="240" w:lineRule="auto" w:before="66" w:after="0"/>
        <w:ind w:left="879" w:right="0" w:hanging="360"/>
        <w:jc w:val="left"/>
        <w:rPr>
          <w:sz w:val="22"/>
        </w:rPr>
      </w:pPr>
      <w:r>
        <w:rPr>
          <w:sz w:val="22"/>
        </w:rPr>
        <w:t>Core training or product licensing assessment for ILM External</w:t>
      </w:r>
      <w:r>
        <w:rPr>
          <w:spacing w:val="-7"/>
          <w:sz w:val="22"/>
        </w:rPr>
        <w:t> </w:t>
      </w:r>
      <w:r>
        <w:rPr>
          <w:sz w:val="22"/>
        </w:rPr>
        <w:t>Verifiers</w:t>
      </w:r>
    </w:p>
    <w:p>
      <w:pPr>
        <w:pStyle w:val="ListParagraph"/>
        <w:numPr>
          <w:ilvl w:val="2"/>
          <w:numId w:val="3"/>
        </w:numPr>
        <w:tabs>
          <w:tab w:pos="879" w:val="left" w:leader="none"/>
          <w:tab w:pos="880" w:val="left" w:leader="none"/>
        </w:tabs>
        <w:spacing w:line="240" w:lineRule="auto" w:before="67" w:after="0"/>
        <w:ind w:left="879" w:right="0" w:hanging="360"/>
        <w:jc w:val="left"/>
        <w:rPr>
          <w:sz w:val="22"/>
        </w:rPr>
      </w:pPr>
      <w:r>
        <w:rPr>
          <w:sz w:val="22"/>
        </w:rPr>
        <w:t>Endorsed or development</w:t>
      </w:r>
      <w:r>
        <w:rPr>
          <w:spacing w:val="1"/>
          <w:sz w:val="22"/>
        </w:rPr>
        <w:t> </w:t>
      </w:r>
      <w:r>
        <w:rPr>
          <w:sz w:val="22"/>
        </w:rPr>
        <w:t>programmes</w:t>
      </w:r>
    </w:p>
    <w:p>
      <w:pPr>
        <w:pStyle w:val="ListParagraph"/>
        <w:numPr>
          <w:ilvl w:val="2"/>
          <w:numId w:val="3"/>
        </w:numPr>
        <w:tabs>
          <w:tab w:pos="879" w:val="left" w:leader="none"/>
          <w:tab w:pos="880" w:val="left" w:leader="none"/>
        </w:tabs>
        <w:spacing w:line="240" w:lineRule="auto" w:before="69" w:after="0"/>
        <w:ind w:left="879" w:right="0" w:hanging="360"/>
        <w:jc w:val="left"/>
        <w:rPr>
          <w:sz w:val="22"/>
        </w:rPr>
      </w:pPr>
      <w:r>
        <w:rPr>
          <w:sz w:val="22"/>
        </w:rPr>
        <w:t>Examinations or</w:t>
      </w:r>
      <w:r>
        <w:rPr>
          <w:spacing w:val="-2"/>
          <w:sz w:val="22"/>
        </w:rPr>
        <w:t> </w:t>
      </w:r>
      <w:r>
        <w:rPr>
          <w:sz w:val="22"/>
        </w:rPr>
        <w:t>tests</w:t>
      </w:r>
    </w:p>
    <w:p>
      <w:pPr>
        <w:spacing w:after="0" w:line="240" w:lineRule="auto"/>
        <w:jc w:val="left"/>
        <w:rPr>
          <w:sz w:val="22"/>
        </w:rPr>
        <w:sectPr>
          <w:pgSz w:w="11910" w:h="16840"/>
          <w:pgMar w:header="749" w:footer="0" w:top="1400" w:bottom="280" w:left="520" w:right="580"/>
        </w:sectPr>
      </w:pPr>
    </w:p>
    <w:p>
      <w:pPr>
        <w:pStyle w:val="BodyText"/>
        <w:spacing w:before="3"/>
        <w:rPr>
          <w:sz w:val="17"/>
        </w:rPr>
      </w:pPr>
    </w:p>
    <w:p>
      <w:pPr>
        <w:pStyle w:val="Heading2"/>
        <w:numPr>
          <w:ilvl w:val="1"/>
          <w:numId w:val="3"/>
        </w:numPr>
        <w:tabs>
          <w:tab w:pos="527" w:val="left" w:leader="none"/>
        </w:tabs>
        <w:spacing w:line="240" w:lineRule="auto" w:before="93" w:after="0"/>
        <w:ind w:left="526" w:right="0" w:hanging="367"/>
        <w:jc w:val="left"/>
      </w:pPr>
      <w:bookmarkStart w:name="_TOC_250014" w:id="4"/>
      <w:r>
        <w:rPr/>
        <w:t>Out of</w:t>
      </w:r>
      <w:r>
        <w:rPr>
          <w:spacing w:val="-2"/>
        </w:rPr>
        <w:t> </w:t>
      </w:r>
      <w:bookmarkEnd w:id="4"/>
      <w:r>
        <w:rPr/>
        <w:t>scope</w:t>
      </w:r>
    </w:p>
    <w:p>
      <w:pPr>
        <w:pStyle w:val="BodyText"/>
        <w:spacing w:before="11"/>
        <w:rPr>
          <w:b/>
          <w:sz w:val="28"/>
        </w:rPr>
      </w:pPr>
    </w:p>
    <w:p>
      <w:pPr>
        <w:pStyle w:val="BodyText"/>
        <w:ind w:left="159"/>
      </w:pPr>
      <w:r>
        <w:rPr/>
        <w:t>There are some issues we will not investigate – essentially anything:</w:t>
      </w:r>
    </w:p>
    <w:p>
      <w:pPr>
        <w:pStyle w:val="BodyText"/>
        <w:spacing w:before="5"/>
        <w:rPr>
          <w:sz w:val="28"/>
        </w:rPr>
      </w:pPr>
    </w:p>
    <w:p>
      <w:pPr>
        <w:pStyle w:val="ListParagraph"/>
        <w:numPr>
          <w:ilvl w:val="2"/>
          <w:numId w:val="3"/>
        </w:numPr>
        <w:tabs>
          <w:tab w:pos="879" w:val="left" w:leader="none"/>
          <w:tab w:pos="880" w:val="left" w:leader="none"/>
        </w:tabs>
        <w:spacing w:line="273" w:lineRule="auto" w:before="0" w:after="0"/>
        <w:ind w:left="879" w:right="136" w:hanging="360"/>
        <w:jc w:val="left"/>
        <w:rPr>
          <w:sz w:val="22"/>
        </w:rPr>
      </w:pPr>
      <w:r>
        <w:rPr>
          <w:sz w:val="22"/>
        </w:rPr>
        <w:t>submitted to us more than 30 working days after the date on which the centre notified the learner of the result of their internal procedure, or after completion of an internal appeals procedure. In terms</w:t>
      </w:r>
      <w:r>
        <w:rPr>
          <w:spacing w:val="-34"/>
          <w:sz w:val="22"/>
        </w:rPr>
        <w:t> </w:t>
      </w:r>
      <w:r>
        <w:rPr>
          <w:sz w:val="22"/>
        </w:rPr>
        <w:t>of ILMA 30 working days from when the result has been sent to the</w:t>
      </w:r>
      <w:r>
        <w:rPr>
          <w:spacing w:val="-15"/>
          <w:sz w:val="22"/>
        </w:rPr>
        <w:t> </w:t>
      </w:r>
      <w:r>
        <w:rPr>
          <w:sz w:val="22"/>
        </w:rPr>
        <w:t>centre</w:t>
      </w:r>
    </w:p>
    <w:p>
      <w:pPr>
        <w:pStyle w:val="ListParagraph"/>
        <w:numPr>
          <w:ilvl w:val="2"/>
          <w:numId w:val="3"/>
        </w:numPr>
        <w:tabs>
          <w:tab w:pos="879" w:val="left" w:leader="none"/>
          <w:tab w:pos="880" w:val="left" w:leader="none"/>
        </w:tabs>
        <w:spacing w:line="240" w:lineRule="auto" w:before="33" w:after="0"/>
        <w:ind w:left="879" w:right="0" w:hanging="360"/>
        <w:jc w:val="left"/>
        <w:rPr>
          <w:sz w:val="22"/>
        </w:rPr>
      </w:pPr>
      <w:r>
        <w:rPr>
          <w:sz w:val="22"/>
        </w:rPr>
        <w:t>that took place before ILM received the learner’s</w:t>
      </w:r>
      <w:r>
        <w:rPr>
          <w:spacing w:val="-11"/>
          <w:sz w:val="22"/>
        </w:rPr>
        <w:t> </w:t>
      </w:r>
      <w:r>
        <w:rPr>
          <w:sz w:val="22"/>
        </w:rPr>
        <w:t>registration</w:t>
      </w:r>
    </w:p>
    <w:p>
      <w:pPr>
        <w:pStyle w:val="ListParagraph"/>
        <w:numPr>
          <w:ilvl w:val="2"/>
          <w:numId w:val="3"/>
        </w:numPr>
        <w:tabs>
          <w:tab w:pos="879" w:val="left" w:leader="none"/>
          <w:tab w:pos="880" w:val="left" w:leader="none"/>
        </w:tabs>
        <w:spacing w:line="240" w:lineRule="auto" w:before="64" w:after="0"/>
        <w:ind w:left="879" w:right="0" w:hanging="360"/>
        <w:jc w:val="left"/>
        <w:rPr>
          <w:sz w:val="22"/>
        </w:rPr>
      </w:pPr>
      <w:r>
        <w:rPr>
          <w:sz w:val="22"/>
        </w:rPr>
        <w:t>that is or should be dealt with under an employer’s disciplinary or grievance</w:t>
      </w:r>
      <w:r>
        <w:rPr>
          <w:spacing w:val="-21"/>
          <w:sz w:val="22"/>
        </w:rPr>
        <w:t> </w:t>
      </w:r>
      <w:r>
        <w:rPr>
          <w:sz w:val="22"/>
        </w:rPr>
        <w:t>procedures</w:t>
      </w:r>
    </w:p>
    <w:p>
      <w:pPr>
        <w:pStyle w:val="ListParagraph"/>
        <w:numPr>
          <w:ilvl w:val="2"/>
          <w:numId w:val="3"/>
        </w:numPr>
        <w:tabs>
          <w:tab w:pos="879" w:val="left" w:leader="none"/>
          <w:tab w:pos="880" w:val="left" w:leader="none"/>
        </w:tabs>
        <w:spacing w:line="240" w:lineRule="auto" w:before="67" w:after="0"/>
        <w:ind w:left="879" w:right="0" w:hanging="360"/>
        <w:jc w:val="left"/>
        <w:rPr>
          <w:sz w:val="22"/>
        </w:rPr>
      </w:pPr>
      <w:r>
        <w:rPr>
          <w:sz w:val="22"/>
        </w:rPr>
        <w:t>involving another awarding</w:t>
      </w:r>
      <w:r>
        <w:rPr>
          <w:spacing w:val="2"/>
          <w:sz w:val="22"/>
        </w:rPr>
        <w:t> </w:t>
      </w:r>
      <w:r>
        <w:rPr>
          <w:sz w:val="22"/>
        </w:rPr>
        <w:t>organisation</w:t>
      </w:r>
    </w:p>
    <w:p>
      <w:pPr>
        <w:pStyle w:val="ListParagraph"/>
        <w:numPr>
          <w:ilvl w:val="2"/>
          <w:numId w:val="3"/>
        </w:numPr>
        <w:tabs>
          <w:tab w:pos="879" w:val="left" w:leader="none"/>
          <w:tab w:pos="880" w:val="left" w:leader="none"/>
        </w:tabs>
        <w:spacing w:line="240" w:lineRule="auto" w:before="64" w:after="0"/>
        <w:ind w:left="879" w:right="0" w:hanging="360"/>
        <w:jc w:val="left"/>
        <w:rPr>
          <w:sz w:val="22"/>
        </w:rPr>
      </w:pPr>
      <w:r>
        <w:rPr>
          <w:sz w:val="22"/>
        </w:rPr>
        <w:t>involving points of</w:t>
      </w:r>
      <w:r>
        <w:rPr>
          <w:spacing w:val="2"/>
          <w:sz w:val="22"/>
        </w:rPr>
        <w:t> </w:t>
      </w:r>
      <w:r>
        <w:rPr>
          <w:sz w:val="22"/>
        </w:rPr>
        <w:t>law</w:t>
      </w:r>
    </w:p>
    <w:p>
      <w:pPr>
        <w:pStyle w:val="BodyText"/>
        <w:rPr>
          <w:sz w:val="26"/>
        </w:rPr>
      </w:pPr>
    </w:p>
    <w:p>
      <w:pPr>
        <w:pStyle w:val="BodyText"/>
        <w:spacing w:before="7"/>
        <w:rPr>
          <w:sz w:val="27"/>
        </w:rPr>
      </w:pPr>
    </w:p>
    <w:p>
      <w:pPr>
        <w:pStyle w:val="Heading2"/>
        <w:numPr>
          <w:ilvl w:val="1"/>
          <w:numId w:val="3"/>
        </w:numPr>
        <w:tabs>
          <w:tab w:pos="529" w:val="left" w:leader="none"/>
        </w:tabs>
        <w:spacing w:line="240" w:lineRule="auto" w:before="0" w:after="0"/>
        <w:ind w:left="528" w:right="0" w:hanging="369"/>
        <w:jc w:val="left"/>
      </w:pPr>
      <w:bookmarkStart w:name="_TOC_250013" w:id="5"/>
      <w:bookmarkEnd w:id="5"/>
      <w:r>
        <w:rPr/>
        <w:t>Fees</w:t>
      </w:r>
    </w:p>
    <w:p>
      <w:pPr>
        <w:pStyle w:val="BodyText"/>
        <w:spacing w:before="11"/>
        <w:rPr>
          <w:b/>
          <w:sz w:val="28"/>
        </w:rPr>
      </w:pPr>
    </w:p>
    <w:p>
      <w:pPr>
        <w:pStyle w:val="BodyText"/>
        <w:spacing w:line="276" w:lineRule="auto"/>
        <w:ind w:left="159" w:right="603"/>
      </w:pPr>
      <w:r>
        <w:rPr/>
        <w:t>There is a charge for re-assessment </w:t>
      </w:r>
      <w:hyperlink r:id="rId7">
        <w:r>
          <w:rPr>
            <w:i/>
            <w:color w:val="0000FF"/>
            <w:u w:val="single" w:color="0000FF"/>
          </w:rPr>
          <w:t>www.i-l-m.com/fees</w:t>
        </w:r>
      </w:hyperlink>
      <w:r>
        <w:rPr>
          <w:i/>
        </w:rPr>
        <w:t>. </w:t>
      </w:r>
      <w:r>
        <w:rPr/>
        <w:t>If the final decision confirms the original assessment we will refund the re-assessment fee. If the assessment is adjusted then the fee will not be refunded.</w:t>
      </w:r>
    </w:p>
    <w:p>
      <w:pPr>
        <w:pStyle w:val="BodyText"/>
        <w:rPr>
          <w:sz w:val="24"/>
        </w:rPr>
      </w:pPr>
    </w:p>
    <w:p>
      <w:pPr>
        <w:pStyle w:val="BodyText"/>
        <w:spacing w:before="4"/>
        <w:rPr>
          <w:sz w:val="26"/>
        </w:rPr>
      </w:pPr>
    </w:p>
    <w:p>
      <w:pPr>
        <w:pStyle w:val="Heading2"/>
        <w:numPr>
          <w:ilvl w:val="1"/>
          <w:numId w:val="3"/>
        </w:numPr>
        <w:tabs>
          <w:tab w:pos="529" w:val="left" w:leader="none"/>
        </w:tabs>
        <w:spacing w:line="240" w:lineRule="auto" w:before="0" w:after="0"/>
        <w:ind w:left="528" w:right="0" w:hanging="369"/>
        <w:jc w:val="left"/>
      </w:pPr>
      <w:bookmarkStart w:name="_TOC_250012" w:id="6"/>
      <w:bookmarkEnd w:id="6"/>
      <w:r>
        <w:rPr/>
        <w:t>Process</w:t>
      </w:r>
    </w:p>
    <w:p>
      <w:pPr>
        <w:pStyle w:val="BodyText"/>
        <w:spacing w:before="9"/>
        <w:rPr>
          <w:b/>
          <w:sz w:val="28"/>
        </w:rPr>
      </w:pPr>
    </w:p>
    <w:p>
      <w:pPr>
        <w:pStyle w:val="BodyText"/>
        <w:spacing w:line="276" w:lineRule="auto"/>
        <w:ind w:left="159" w:right="101"/>
      </w:pPr>
      <w:r>
        <w:rPr/>
        <w:t>As part of the ILM approval process you must have your own policy in relation to appeals. This should detail your internal appeals procedure and the mechanisms to work with learners informally to resolve any problems at an early stage. Full records must be kept of internal appeals, investigations and actions taken to resolve the issue. You should exhaust your own policy before referring to ILM for further guidance.</w:t>
      </w:r>
    </w:p>
    <w:p>
      <w:pPr>
        <w:pStyle w:val="BodyText"/>
        <w:spacing w:before="3"/>
        <w:rPr>
          <w:sz w:val="25"/>
        </w:rPr>
      </w:pPr>
    </w:p>
    <w:p>
      <w:pPr>
        <w:pStyle w:val="BodyText"/>
        <w:ind w:left="159"/>
      </w:pPr>
      <w:r>
        <w:rPr/>
        <w:t>Your internal appeals procedure must state clearly:</w:t>
      </w:r>
    </w:p>
    <w:p>
      <w:pPr>
        <w:pStyle w:val="ListParagraph"/>
        <w:numPr>
          <w:ilvl w:val="2"/>
          <w:numId w:val="3"/>
        </w:numPr>
        <w:tabs>
          <w:tab w:pos="879" w:val="left" w:leader="none"/>
          <w:tab w:pos="880" w:val="left" w:leader="none"/>
        </w:tabs>
        <w:spacing w:line="240" w:lineRule="auto" w:before="37" w:after="0"/>
        <w:ind w:left="879" w:right="0" w:hanging="360"/>
        <w:jc w:val="left"/>
        <w:rPr>
          <w:sz w:val="22"/>
        </w:rPr>
      </w:pPr>
      <w:r>
        <w:rPr>
          <w:sz w:val="22"/>
        </w:rPr>
        <w:t>the stages in the</w:t>
      </w:r>
      <w:r>
        <w:rPr>
          <w:spacing w:val="-5"/>
          <w:sz w:val="22"/>
        </w:rPr>
        <w:t> </w:t>
      </w:r>
      <w:r>
        <w:rPr>
          <w:sz w:val="22"/>
        </w:rPr>
        <w:t>procedure</w:t>
      </w:r>
    </w:p>
    <w:p>
      <w:pPr>
        <w:pStyle w:val="ListParagraph"/>
        <w:numPr>
          <w:ilvl w:val="2"/>
          <w:numId w:val="3"/>
        </w:numPr>
        <w:tabs>
          <w:tab w:pos="879" w:val="left" w:leader="none"/>
          <w:tab w:pos="880" w:val="left" w:leader="none"/>
        </w:tabs>
        <w:spacing w:line="240" w:lineRule="auto" w:before="64" w:after="0"/>
        <w:ind w:left="879" w:right="0" w:hanging="360"/>
        <w:jc w:val="left"/>
        <w:rPr>
          <w:sz w:val="22"/>
        </w:rPr>
      </w:pPr>
      <w:r>
        <w:rPr>
          <w:sz w:val="22"/>
        </w:rPr>
        <w:t>exactly what can be appealed and any matters out of scope of the</w:t>
      </w:r>
      <w:r>
        <w:rPr>
          <w:spacing w:val="-2"/>
          <w:sz w:val="22"/>
        </w:rPr>
        <w:t> </w:t>
      </w:r>
      <w:r>
        <w:rPr>
          <w:sz w:val="22"/>
        </w:rPr>
        <w:t>procedure</w:t>
      </w:r>
    </w:p>
    <w:p>
      <w:pPr>
        <w:pStyle w:val="ListParagraph"/>
        <w:numPr>
          <w:ilvl w:val="2"/>
          <w:numId w:val="3"/>
        </w:numPr>
        <w:tabs>
          <w:tab w:pos="879" w:val="left" w:leader="none"/>
          <w:tab w:pos="880" w:val="left" w:leader="none"/>
        </w:tabs>
        <w:spacing w:line="271" w:lineRule="auto" w:before="69" w:after="0"/>
        <w:ind w:left="879" w:right="262" w:hanging="360"/>
        <w:jc w:val="left"/>
        <w:rPr>
          <w:sz w:val="22"/>
        </w:rPr>
      </w:pPr>
      <w:r>
        <w:rPr>
          <w:sz w:val="22"/>
        </w:rPr>
        <w:t>exactly who – or which position in the centre – the person wanting to appeal should refer their issue to</w:t>
      </w:r>
    </w:p>
    <w:p>
      <w:pPr>
        <w:pStyle w:val="ListParagraph"/>
        <w:numPr>
          <w:ilvl w:val="2"/>
          <w:numId w:val="3"/>
        </w:numPr>
        <w:tabs>
          <w:tab w:pos="879" w:val="left" w:leader="none"/>
          <w:tab w:pos="880" w:val="left" w:leader="none"/>
        </w:tabs>
        <w:spacing w:line="240" w:lineRule="auto" w:before="34" w:after="0"/>
        <w:ind w:left="879" w:right="0" w:hanging="360"/>
        <w:jc w:val="left"/>
        <w:rPr>
          <w:sz w:val="22"/>
        </w:rPr>
      </w:pPr>
      <w:r>
        <w:rPr>
          <w:sz w:val="22"/>
        </w:rPr>
        <w:t>what form the appeal should be in – for example, letter, pro-forma or</w:t>
      </w:r>
      <w:r>
        <w:rPr>
          <w:spacing w:val="-10"/>
          <w:sz w:val="22"/>
        </w:rPr>
        <w:t> </w:t>
      </w:r>
      <w:r>
        <w:rPr>
          <w:sz w:val="22"/>
        </w:rPr>
        <w:t>email</w:t>
      </w:r>
    </w:p>
    <w:p>
      <w:pPr>
        <w:pStyle w:val="ListParagraph"/>
        <w:numPr>
          <w:ilvl w:val="2"/>
          <w:numId w:val="3"/>
        </w:numPr>
        <w:tabs>
          <w:tab w:pos="879" w:val="left" w:leader="none"/>
          <w:tab w:pos="880" w:val="left" w:leader="none"/>
        </w:tabs>
        <w:spacing w:line="271" w:lineRule="auto" w:before="69" w:after="0"/>
        <w:ind w:left="879" w:right="261" w:hanging="360"/>
        <w:jc w:val="left"/>
        <w:rPr>
          <w:sz w:val="22"/>
        </w:rPr>
      </w:pPr>
      <w:r>
        <w:rPr>
          <w:sz w:val="22"/>
        </w:rPr>
        <w:t>any time limits for lodging an appeal, and the timescale for the centre to respond (generally given in ‘working</w:t>
      </w:r>
      <w:r>
        <w:rPr>
          <w:spacing w:val="1"/>
          <w:sz w:val="22"/>
        </w:rPr>
        <w:t> </w:t>
      </w:r>
      <w:r>
        <w:rPr>
          <w:sz w:val="22"/>
        </w:rPr>
        <w:t>days’)</w:t>
      </w:r>
    </w:p>
    <w:p>
      <w:pPr>
        <w:pStyle w:val="ListParagraph"/>
        <w:numPr>
          <w:ilvl w:val="2"/>
          <w:numId w:val="3"/>
        </w:numPr>
        <w:tabs>
          <w:tab w:pos="879" w:val="left" w:leader="none"/>
          <w:tab w:pos="880" w:val="left" w:leader="none"/>
        </w:tabs>
        <w:spacing w:line="273" w:lineRule="auto" w:before="36" w:after="0"/>
        <w:ind w:left="879" w:right="174" w:hanging="360"/>
        <w:jc w:val="left"/>
        <w:rPr>
          <w:sz w:val="22"/>
        </w:rPr>
      </w:pPr>
      <w:r>
        <w:rPr>
          <w:sz w:val="22"/>
        </w:rPr>
        <w:t>the objective and independent process the centre will use to investigate and respond to the appeal – possibly an appeals panel, consideration by a named individual, or some other appropriate alternative</w:t>
      </w:r>
    </w:p>
    <w:p>
      <w:pPr>
        <w:pStyle w:val="ListParagraph"/>
        <w:numPr>
          <w:ilvl w:val="2"/>
          <w:numId w:val="3"/>
        </w:numPr>
        <w:tabs>
          <w:tab w:pos="879" w:val="left" w:leader="none"/>
          <w:tab w:pos="880" w:val="left" w:leader="none"/>
        </w:tabs>
        <w:spacing w:line="240" w:lineRule="auto" w:before="33" w:after="0"/>
        <w:ind w:left="879" w:right="0" w:hanging="360"/>
        <w:jc w:val="left"/>
        <w:rPr>
          <w:sz w:val="22"/>
        </w:rPr>
      </w:pPr>
      <w:r>
        <w:rPr>
          <w:sz w:val="22"/>
        </w:rPr>
        <w:t>any support or representation the appellant may bring to the</w:t>
      </w:r>
      <w:r>
        <w:rPr>
          <w:spacing w:val="-13"/>
          <w:sz w:val="22"/>
        </w:rPr>
        <w:t> </w:t>
      </w:r>
      <w:r>
        <w:rPr>
          <w:sz w:val="22"/>
        </w:rPr>
        <w:t>appeal</w:t>
      </w:r>
    </w:p>
    <w:p>
      <w:pPr>
        <w:pStyle w:val="ListParagraph"/>
        <w:numPr>
          <w:ilvl w:val="2"/>
          <w:numId w:val="3"/>
        </w:numPr>
        <w:tabs>
          <w:tab w:pos="879" w:val="left" w:leader="none"/>
          <w:tab w:pos="880" w:val="left" w:leader="none"/>
        </w:tabs>
        <w:spacing w:line="240" w:lineRule="auto" w:before="66" w:after="0"/>
        <w:ind w:left="879" w:right="0" w:hanging="360"/>
        <w:jc w:val="left"/>
        <w:rPr>
          <w:sz w:val="22"/>
        </w:rPr>
      </w:pPr>
      <w:r>
        <w:rPr>
          <w:sz w:val="22"/>
        </w:rPr>
        <w:t>how the centre notifies the appellant of the</w:t>
      </w:r>
      <w:r>
        <w:rPr>
          <w:spacing w:val="-6"/>
          <w:sz w:val="22"/>
        </w:rPr>
        <w:t> </w:t>
      </w:r>
      <w:r>
        <w:rPr>
          <w:sz w:val="22"/>
        </w:rPr>
        <w:t>outcome</w:t>
      </w:r>
    </w:p>
    <w:p>
      <w:pPr>
        <w:pStyle w:val="ListParagraph"/>
        <w:numPr>
          <w:ilvl w:val="2"/>
          <w:numId w:val="3"/>
        </w:numPr>
        <w:tabs>
          <w:tab w:pos="879" w:val="left" w:leader="none"/>
          <w:tab w:pos="880" w:val="left" w:leader="none"/>
        </w:tabs>
        <w:spacing w:line="240" w:lineRule="auto" w:before="69" w:after="0"/>
        <w:ind w:left="879" w:right="0" w:hanging="360"/>
        <w:jc w:val="left"/>
        <w:rPr>
          <w:sz w:val="22"/>
        </w:rPr>
      </w:pPr>
      <w:r>
        <w:rPr>
          <w:sz w:val="22"/>
        </w:rPr>
        <w:t>the written records and evidence the centre keeps, and for how</w:t>
      </w:r>
      <w:r>
        <w:rPr>
          <w:spacing w:val="-11"/>
          <w:sz w:val="22"/>
        </w:rPr>
        <w:t> </w:t>
      </w:r>
      <w:r>
        <w:rPr>
          <w:sz w:val="22"/>
        </w:rPr>
        <w:t>long.</w:t>
      </w:r>
    </w:p>
    <w:p>
      <w:pPr>
        <w:pStyle w:val="BodyText"/>
        <w:spacing w:before="4"/>
        <w:rPr>
          <w:sz w:val="28"/>
        </w:rPr>
      </w:pPr>
    </w:p>
    <w:p>
      <w:pPr>
        <w:pStyle w:val="BodyText"/>
        <w:spacing w:line="276" w:lineRule="auto"/>
        <w:ind w:left="159" w:right="346"/>
      </w:pPr>
      <w:r>
        <w:rPr/>
        <w:t>Escalation to ILM can only take place once the centre’s internal appeals procedure has been exhausted. ILM will ask to see evidence that the centre’s internal appeals process has been followed and any records relating to the matter must be submitted when making an appeal.</w:t>
      </w:r>
    </w:p>
    <w:p>
      <w:pPr>
        <w:spacing w:after="0" w:line="276" w:lineRule="auto"/>
        <w:sectPr>
          <w:pgSz w:w="11910" w:h="16840"/>
          <w:pgMar w:header="749" w:footer="0" w:top="1400" w:bottom="280" w:left="520" w:right="580"/>
        </w:sectPr>
      </w:pPr>
    </w:p>
    <w:p>
      <w:pPr>
        <w:pStyle w:val="BodyText"/>
        <w:spacing w:before="3"/>
        <w:rPr>
          <w:sz w:val="17"/>
        </w:rPr>
      </w:pPr>
    </w:p>
    <w:p>
      <w:pPr>
        <w:pStyle w:val="Heading2"/>
        <w:numPr>
          <w:ilvl w:val="1"/>
          <w:numId w:val="3"/>
        </w:numPr>
        <w:tabs>
          <w:tab w:pos="529" w:val="left" w:leader="none"/>
        </w:tabs>
        <w:spacing w:line="240" w:lineRule="auto" w:before="93" w:after="0"/>
        <w:ind w:left="528" w:right="0" w:hanging="369"/>
        <w:jc w:val="left"/>
      </w:pPr>
      <w:bookmarkStart w:name="_TOC_250011" w:id="7"/>
      <w:r>
        <w:rPr/>
        <w:t>Lodging</w:t>
      </w:r>
      <w:r>
        <w:rPr>
          <w:spacing w:val="-1"/>
        </w:rPr>
        <w:t> </w:t>
      </w:r>
      <w:bookmarkEnd w:id="7"/>
      <w:r>
        <w:rPr/>
        <w:t>appeals</w:t>
      </w:r>
    </w:p>
    <w:p>
      <w:pPr>
        <w:pStyle w:val="BodyText"/>
        <w:spacing w:before="11"/>
        <w:rPr>
          <w:b/>
          <w:sz w:val="28"/>
        </w:rPr>
      </w:pPr>
    </w:p>
    <w:p>
      <w:pPr>
        <w:pStyle w:val="BodyText"/>
        <w:spacing w:line="276" w:lineRule="auto"/>
        <w:ind w:left="159" w:right="139"/>
      </w:pPr>
      <w:r>
        <w:rPr/>
        <w:t>Appeals must be made to the Regulation and Business Improvement Manager by emailing </w:t>
      </w:r>
      <w:hyperlink r:id="rId8">
        <w:r>
          <w:rPr>
            <w:color w:val="0000FF"/>
            <w:u w:val="single" w:color="0000FF"/>
          </w:rPr>
          <w:t>ILMRegulation@i-l-m.com</w:t>
        </w:r>
        <w:r>
          <w:rPr>
            <w:color w:val="0000FF"/>
          </w:rPr>
          <w:t> </w:t>
        </w:r>
      </w:hyperlink>
      <w:r>
        <w:rPr/>
        <w:t>within 30 working days (see above 1.3), clearly stating the grounds for your appeal and all evidence needed for ILM to investigate and form a judgement (e.g., in the case of an assessment appeal, the learner’s submission must be included along with mark sheet(s) and all records of assessment, internal verification and the internal appeal). An independent lead reviewer (e.g. Chief Assessor, Lead Assessor) will be appointed to lead the review and to chair the appeals panel, who will consult with relevant parties e.g. the learner, centre staff, External Verifier, Quality Manager. They may ask for additional evidence from people associated with the appeal. The Panel will comprise a minimum of 2 members of the ILM Quality &amp; Regulatory Group, plus participation by an independent person* who has appropriate competence within the assessment process and the subject matter. The Appeal Panel will make the binding decision on the outcome.</w:t>
      </w:r>
    </w:p>
    <w:p>
      <w:pPr>
        <w:pStyle w:val="BodyText"/>
        <w:rPr>
          <w:sz w:val="24"/>
        </w:rPr>
      </w:pPr>
    </w:p>
    <w:p>
      <w:pPr>
        <w:pStyle w:val="BodyText"/>
        <w:spacing w:before="3"/>
        <w:rPr>
          <w:sz w:val="26"/>
        </w:rPr>
      </w:pPr>
    </w:p>
    <w:p>
      <w:pPr>
        <w:pStyle w:val="Heading2"/>
        <w:numPr>
          <w:ilvl w:val="1"/>
          <w:numId w:val="3"/>
        </w:numPr>
        <w:tabs>
          <w:tab w:pos="527" w:val="left" w:leader="none"/>
        </w:tabs>
        <w:spacing w:line="240" w:lineRule="auto" w:before="0" w:after="0"/>
        <w:ind w:left="526" w:right="0" w:hanging="367"/>
        <w:jc w:val="left"/>
      </w:pPr>
      <w:bookmarkStart w:name="_TOC_250010" w:id="8"/>
      <w:r>
        <w:rPr/>
        <w:t>Outcome and</w:t>
      </w:r>
      <w:r>
        <w:rPr>
          <w:spacing w:val="-2"/>
        </w:rPr>
        <w:t> </w:t>
      </w:r>
      <w:bookmarkEnd w:id="8"/>
      <w:r>
        <w:rPr/>
        <w:t>action</w:t>
      </w:r>
    </w:p>
    <w:p>
      <w:pPr>
        <w:pStyle w:val="BodyText"/>
        <w:spacing w:before="10"/>
        <w:rPr>
          <w:b/>
          <w:sz w:val="28"/>
        </w:rPr>
      </w:pPr>
    </w:p>
    <w:p>
      <w:pPr>
        <w:pStyle w:val="BodyText"/>
        <w:spacing w:line="276" w:lineRule="auto" w:before="1"/>
        <w:ind w:left="159" w:right="603"/>
      </w:pPr>
      <w:r>
        <w:rPr/>
        <w:t>We will normally provide a response to you within 30 working days – a report on the outcome, but if it is going to take longer we will keep you fully informed.</w:t>
      </w:r>
    </w:p>
    <w:p>
      <w:pPr>
        <w:pStyle w:val="BodyText"/>
        <w:spacing w:before="4"/>
        <w:rPr>
          <w:sz w:val="25"/>
        </w:rPr>
      </w:pPr>
    </w:p>
    <w:p>
      <w:pPr>
        <w:pStyle w:val="BodyText"/>
        <w:spacing w:line="276" w:lineRule="auto"/>
        <w:ind w:left="159" w:right="358"/>
      </w:pPr>
      <w:r>
        <w:rPr/>
        <w:t>The appointed Appeals Panel will determine the final outcome and confirm in writing with the centre. If the appeal is upheld, ILM will take the appropriate course of action:</w:t>
      </w:r>
    </w:p>
    <w:p>
      <w:pPr>
        <w:pStyle w:val="BodyText"/>
        <w:spacing w:before="2"/>
        <w:rPr>
          <w:sz w:val="25"/>
        </w:rPr>
      </w:pPr>
    </w:p>
    <w:p>
      <w:pPr>
        <w:pStyle w:val="BodyText"/>
        <w:spacing w:line="276" w:lineRule="auto"/>
        <w:ind w:left="159" w:right="1043"/>
      </w:pPr>
      <w:r>
        <w:rPr/>
        <w:t>If you feel that ILM has not followed its own published timescales or process then please follow the complaints procedure.</w:t>
      </w:r>
    </w:p>
    <w:p>
      <w:pPr>
        <w:pStyle w:val="BodyText"/>
        <w:spacing w:before="4"/>
        <w:rPr>
          <w:sz w:val="25"/>
        </w:rPr>
      </w:pPr>
    </w:p>
    <w:p>
      <w:pPr>
        <w:pStyle w:val="ListParagraph"/>
        <w:numPr>
          <w:ilvl w:val="2"/>
          <w:numId w:val="4"/>
        </w:numPr>
        <w:tabs>
          <w:tab w:pos="711" w:val="left" w:leader="none"/>
        </w:tabs>
        <w:spacing w:line="240" w:lineRule="auto" w:before="0" w:after="0"/>
        <w:ind w:left="710" w:right="0" w:hanging="551"/>
        <w:jc w:val="left"/>
        <w:rPr>
          <w:i/>
          <w:sz w:val="22"/>
        </w:rPr>
      </w:pPr>
      <w:r>
        <w:rPr>
          <w:i/>
          <w:sz w:val="22"/>
        </w:rPr>
        <w:t>Appeals against a centre’s assessment decision on result and/or</w:t>
      </w:r>
      <w:r>
        <w:rPr>
          <w:i/>
          <w:spacing w:val="-9"/>
          <w:sz w:val="22"/>
        </w:rPr>
        <w:t> </w:t>
      </w:r>
      <w:r>
        <w:rPr>
          <w:i/>
          <w:sz w:val="22"/>
        </w:rPr>
        <w:t>marks</w:t>
      </w:r>
    </w:p>
    <w:p>
      <w:pPr>
        <w:pStyle w:val="BodyText"/>
        <w:spacing w:line="276" w:lineRule="auto" w:before="38"/>
        <w:ind w:left="159" w:right="89"/>
      </w:pPr>
      <w:r>
        <w:rPr/>
        <w:t>The lead reviewer will review all relevant evidence, reassess the work and write a short report on the findings. If the appeal is upheld we will amend the centre result and/or marks held on our records and take any further action as appropriate. ILM’s decision will be final and there is no further right of appeal to ILM but taking a regulated qualification may have the right of appeal.</w:t>
      </w:r>
    </w:p>
    <w:p>
      <w:pPr>
        <w:pStyle w:val="BodyText"/>
        <w:spacing w:before="3"/>
        <w:rPr>
          <w:sz w:val="25"/>
        </w:rPr>
      </w:pPr>
    </w:p>
    <w:p>
      <w:pPr>
        <w:pStyle w:val="ListParagraph"/>
        <w:numPr>
          <w:ilvl w:val="2"/>
          <w:numId w:val="4"/>
        </w:numPr>
        <w:tabs>
          <w:tab w:pos="711" w:val="left" w:leader="none"/>
        </w:tabs>
        <w:spacing w:line="276" w:lineRule="auto" w:before="0" w:after="0"/>
        <w:ind w:left="159" w:right="227" w:firstLine="0"/>
        <w:jc w:val="left"/>
        <w:rPr>
          <w:sz w:val="22"/>
        </w:rPr>
      </w:pPr>
      <w:r>
        <w:rPr>
          <w:i/>
          <w:sz w:val="22"/>
        </w:rPr>
        <w:t>Appeals against decision of ILM assessment delivery services on assessment result and/or mark </w:t>
      </w:r>
      <w:r>
        <w:rPr>
          <w:sz w:val="22"/>
        </w:rPr>
        <w:t>Where you disagree with the result or, even if you agree with the result but think the marks awarded by ILM should be higher, for a fee you can ask us to have that submission independently re-assessed by using a different ILM Lead</w:t>
      </w:r>
      <w:r>
        <w:rPr>
          <w:spacing w:val="-6"/>
          <w:sz w:val="22"/>
        </w:rPr>
        <w:t> </w:t>
      </w:r>
      <w:r>
        <w:rPr>
          <w:sz w:val="22"/>
        </w:rPr>
        <w:t>Assessor.</w:t>
      </w:r>
    </w:p>
    <w:p>
      <w:pPr>
        <w:pStyle w:val="BodyText"/>
        <w:spacing w:before="4"/>
        <w:rPr>
          <w:sz w:val="25"/>
        </w:rPr>
      </w:pPr>
    </w:p>
    <w:p>
      <w:pPr>
        <w:pStyle w:val="BodyText"/>
        <w:spacing w:line="276" w:lineRule="auto"/>
        <w:ind w:left="159" w:right="297"/>
      </w:pPr>
      <w:r>
        <w:rPr/>
        <w:t>The lead reviewer will then review all relevant evidence, including the original assessment and QA records alongside the new re-assessment, and write a report on his/her findings. The report will be presented to a convened Appeals Panel, which is a subgroup of ILM’s Quality &amp; Regulatory Group.</w:t>
      </w:r>
    </w:p>
    <w:p>
      <w:pPr>
        <w:pStyle w:val="BodyText"/>
        <w:spacing w:before="4"/>
        <w:rPr>
          <w:sz w:val="25"/>
        </w:rPr>
      </w:pPr>
    </w:p>
    <w:p>
      <w:pPr>
        <w:pStyle w:val="BodyText"/>
        <w:spacing w:line="276" w:lineRule="auto"/>
        <w:ind w:left="159" w:right="89"/>
      </w:pPr>
      <w:r>
        <w:rPr/>
        <w:t>If the appeal is upheld we will amend the result and/or marks held on our records, if necessary reissue certificates, and take any further action as appropriate. There is no further right of appeal to ILM but taking a regulated qualification may have the right of appeal. ILM will charge a re-assessment fee for appeals against an ILM assessment decision, see the ILM fees list for details.</w:t>
      </w:r>
    </w:p>
    <w:p>
      <w:pPr>
        <w:pStyle w:val="BodyText"/>
        <w:spacing w:before="3"/>
        <w:rPr>
          <w:sz w:val="25"/>
        </w:rPr>
      </w:pPr>
    </w:p>
    <w:p>
      <w:pPr>
        <w:pStyle w:val="BodyText"/>
        <w:ind w:left="159"/>
      </w:pPr>
      <w:r>
        <w:rPr/>
        <w:t>*The independent person is defined as someone who has not held a role within ILM for at least seven years.</w:t>
      </w:r>
    </w:p>
    <w:p>
      <w:pPr>
        <w:spacing w:after="0"/>
        <w:sectPr>
          <w:pgSz w:w="11910" w:h="16840"/>
          <w:pgMar w:header="749" w:footer="0" w:top="1400" w:bottom="280" w:left="520" w:right="580"/>
        </w:sectPr>
      </w:pPr>
    </w:p>
    <w:p>
      <w:pPr>
        <w:pStyle w:val="BodyText"/>
        <w:spacing w:before="5"/>
        <w:rPr>
          <w:sz w:val="17"/>
        </w:rPr>
      </w:pPr>
    </w:p>
    <w:p>
      <w:pPr>
        <w:pStyle w:val="ListParagraph"/>
        <w:numPr>
          <w:ilvl w:val="2"/>
          <w:numId w:val="4"/>
        </w:numPr>
        <w:tabs>
          <w:tab w:pos="711" w:val="left" w:leader="none"/>
        </w:tabs>
        <w:spacing w:line="276" w:lineRule="auto" w:before="94" w:after="0"/>
        <w:ind w:left="159" w:right="202" w:firstLine="0"/>
        <w:jc w:val="left"/>
        <w:rPr>
          <w:i/>
          <w:sz w:val="22"/>
        </w:rPr>
      </w:pPr>
      <w:r>
        <w:rPr>
          <w:i/>
          <w:sz w:val="22"/>
        </w:rPr>
        <w:t>ILM’s decision to decline a centre’s request for reasonable adjustments, special considerations and/or </w:t>
      </w:r>
      <w:r>
        <w:rPr>
          <w:i/>
          <w:sz w:val="22"/>
        </w:rPr>
        <w:t>use of language (other than</w:t>
      </w:r>
      <w:r>
        <w:rPr>
          <w:i/>
          <w:spacing w:val="-5"/>
          <w:sz w:val="22"/>
        </w:rPr>
        <w:t> </w:t>
      </w:r>
      <w:r>
        <w:rPr>
          <w:i/>
          <w:sz w:val="22"/>
        </w:rPr>
        <w:t>English)</w:t>
      </w:r>
    </w:p>
    <w:p>
      <w:pPr>
        <w:pStyle w:val="BodyText"/>
        <w:spacing w:line="276" w:lineRule="auto" w:before="1"/>
        <w:ind w:left="159" w:right="139"/>
      </w:pPr>
      <w:r>
        <w:rPr/>
        <w:t>The lead reviewer will review the centres initial application and write a report on the outcome. The report will be presented to a convened Appeals Panel, including the ILM Chief Assessor. The Panel will make the binding decision on the outcome. There is no further right of appeal to ILM but taking a regulated qualification may have the right of appeal.</w:t>
      </w:r>
    </w:p>
    <w:p>
      <w:pPr>
        <w:pStyle w:val="BodyText"/>
        <w:spacing w:before="3"/>
        <w:rPr>
          <w:sz w:val="25"/>
        </w:rPr>
      </w:pPr>
    </w:p>
    <w:p>
      <w:pPr>
        <w:pStyle w:val="ListParagraph"/>
        <w:numPr>
          <w:ilvl w:val="2"/>
          <w:numId w:val="4"/>
        </w:numPr>
        <w:tabs>
          <w:tab w:pos="711" w:val="left" w:leader="none"/>
        </w:tabs>
        <w:spacing w:line="276" w:lineRule="auto" w:before="0" w:after="0"/>
        <w:ind w:left="159" w:right="583" w:firstLine="0"/>
        <w:jc w:val="left"/>
        <w:rPr>
          <w:i/>
          <w:sz w:val="22"/>
        </w:rPr>
      </w:pPr>
      <w:r>
        <w:rPr>
          <w:i/>
          <w:sz w:val="22"/>
        </w:rPr>
        <w:t>ILM’s actions to be taken following an investigation into malpractice, maladministration, plagiarism </w:t>
      </w:r>
      <w:r>
        <w:rPr>
          <w:i/>
          <w:sz w:val="22"/>
        </w:rPr>
        <w:t>and/or</w:t>
      </w:r>
      <w:r>
        <w:rPr>
          <w:i/>
          <w:spacing w:val="-1"/>
          <w:sz w:val="22"/>
        </w:rPr>
        <w:t> </w:t>
      </w:r>
      <w:r>
        <w:rPr>
          <w:i/>
          <w:sz w:val="22"/>
        </w:rPr>
        <w:t>cheating</w:t>
      </w:r>
    </w:p>
    <w:p>
      <w:pPr>
        <w:pStyle w:val="BodyText"/>
        <w:spacing w:line="276" w:lineRule="auto"/>
        <w:ind w:left="159" w:right="187"/>
      </w:pPr>
      <w:r>
        <w:rPr/>
        <w:t>The lead investigator will present the original report, the centre’s appeal and the grounds it was made on and any other supporting evidence to a convened Appeals Panel plus participation by an independent person who has appropriate competence within the assessment process. The panel’s decision is final and there is no further right of appeal except for learners registered on a Scottish Vocational Qualification that is regulated by the Scottish Qualifications Authority (SQA).</w:t>
      </w:r>
    </w:p>
    <w:p>
      <w:pPr>
        <w:pStyle w:val="BodyText"/>
        <w:spacing w:before="2"/>
        <w:rPr>
          <w:sz w:val="25"/>
        </w:rPr>
      </w:pPr>
    </w:p>
    <w:p>
      <w:pPr>
        <w:pStyle w:val="ListParagraph"/>
        <w:numPr>
          <w:ilvl w:val="2"/>
          <w:numId w:val="4"/>
        </w:numPr>
        <w:tabs>
          <w:tab w:pos="711" w:val="left" w:leader="none"/>
        </w:tabs>
        <w:spacing w:line="240" w:lineRule="auto" w:before="1" w:after="0"/>
        <w:ind w:left="710" w:right="0" w:hanging="551"/>
        <w:jc w:val="left"/>
        <w:rPr>
          <w:i/>
          <w:sz w:val="22"/>
        </w:rPr>
      </w:pPr>
      <w:r>
        <w:rPr>
          <w:i/>
          <w:sz w:val="22"/>
        </w:rPr>
        <w:t>EVs ILMs decision not to license an external vendor for specific qualifications (or</w:t>
      </w:r>
      <w:r>
        <w:rPr>
          <w:i/>
          <w:spacing w:val="-13"/>
          <w:sz w:val="22"/>
        </w:rPr>
        <w:t> </w:t>
      </w:r>
      <w:r>
        <w:rPr>
          <w:i/>
          <w:sz w:val="22"/>
        </w:rPr>
        <w:t>units)</w:t>
      </w:r>
    </w:p>
    <w:p>
      <w:pPr>
        <w:pStyle w:val="BodyText"/>
        <w:rPr>
          <w:i/>
          <w:sz w:val="24"/>
        </w:rPr>
      </w:pPr>
    </w:p>
    <w:p>
      <w:pPr>
        <w:pStyle w:val="BodyText"/>
        <w:spacing w:before="8"/>
        <w:rPr>
          <w:i/>
          <w:sz w:val="29"/>
        </w:rPr>
      </w:pPr>
    </w:p>
    <w:p>
      <w:pPr>
        <w:pStyle w:val="Heading2"/>
        <w:numPr>
          <w:ilvl w:val="1"/>
          <w:numId w:val="5"/>
        </w:numPr>
        <w:tabs>
          <w:tab w:pos="529" w:val="left" w:leader="none"/>
        </w:tabs>
        <w:spacing w:line="240" w:lineRule="auto" w:before="0" w:after="0"/>
        <w:ind w:left="528" w:right="0" w:hanging="369"/>
        <w:jc w:val="left"/>
      </w:pPr>
      <w:bookmarkStart w:name="_TOC_250009" w:id="9"/>
      <w:bookmarkEnd w:id="9"/>
      <w:r>
        <w:rPr/>
        <w:t>Escalation</w:t>
      </w:r>
    </w:p>
    <w:p>
      <w:pPr>
        <w:pStyle w:val="BodyText"/>
        <w:spacing w:before="7"/>
        <w:rPr>
          <w:b/>
          <w:sz w:val="25"/>
        </w:rPr>
      </w:pPr>
    </w:p>
    <w:p>
      <w:pPr>
        <w:spacing w:before="0"/>
        <w:ind w:left="159" w:right="0" w:firstLine="0"/>
        <w:jc w:val="left"/>
        <w:rPr>
          <w:i/>
          <w:sz w:val="22"/>
        </w:rPr>
      </w:pPr>
      <w:r>
        <w:rPr>
          <w:i/>
          <w:sz w:val="22"/>
        </w:rPr>
        <w:t>Scottish Qualifications Authority (SQA)</w:t>
      </w:r>
    </w:p>
    <w:p>
      <w:pPr>
        <w:pStyle w:val="BodyText"/>
        <w:spacing w:line="276" w:lineRule="auto" w:before="37"/>
        <w:ind w:left="159" w:right="128"/>
      </w:pPr>
      <w:r>
        <w:rPr/>
        <w:t>The lead reviewer will review the centres initial application and write a report on the outcome. The report will be presented to a convened Appeals Panel, including the ILM Chief Assessor. The Panel will make the binding decision on the outcome. There is no further right of appeal to ILM but taking a regulated qualification may have the right of appeal.</w:t>
      </w:r>
    </w:p>
    <w:p>
      <w:pPr>
        <w:pStyle w:val="BodyText"/>
        <w:spacing w:before="4"/>
        <w:rPr>
          <w:sz w:val="25"/>
        </w:rPr>
      </w:pPr>
    </w:p>
    <w:p>
      <w:pPr>
        <w:pStyle w:val="BodyText"/>
        <w:spacing w:line="276" w:lineRule="auto"/>
        <w:ind w:left="159" w:right="370"/>
      </w:pPr>
      <w:r>
        <w:rPr/>
        <w:t>Learners registered on a Scottish Vocational Qualification have further right of appeal to the regulator, the Scottish Qualifications Authority (SQA). There have been no cases to date where this has occurred, however, in order to ensure that learners are aware of this entitlement, we ask that you ensure your induction materials include reference to further appeals to SQA accreditation.</w:t>
      </w:r>
    </w:p>
    <w:p>
      <w:pPr>
        <w:pStyle w:val="BodyText"/>
        <w:spacing w:before="3"/>
        <w:rPr>
          <w:sz w:val="25"/>
        </w:rPr>
      </w:pPr>
    </w:p>
    <w:p>
      <w:pPr>
        <w:spacing w:before="0"/>
        <w:ind w:left="159" w:right="0" w:firstLine="0"/>
        <w:jc w:val="left"/>
        <w:rPr>
          <w:i/>
          <w:sz w:val="22"/>
        </w:rPr>
      </w:pPr>
      <w:r>
        <w:rPr>
          <w:i/>
          <w:sz w:val="22"/>
        </w:rPr>
        <w:t>Ofqual</w:t>
      </w:r>
    </w:p>
    <w:p>
      <w:pPr>
        <w:spacing w:line="278" w:lineRule="auto" w:before="38"/>
        <w:ind w:left="159" w:right="0" w:firstLine="0"/>
        <w:jc w:val="left"/>
        <w:rPr>
          <w:i/>
          <w:sz w:val="22"/>
        </w:rPr>
      </w:pPr>
      <w:r>
        <w:rPr>
          <w:i/>
          <w:sz w:val="22"/>
        </w:rPr>
        <w:t>(note: at the time of writing this policy Ofqual had not confirmed their plans for an independent appeals </w:t>
      </w:r>
      <w:r>
        <w:rPr>
          <w:i/>
          <w:sz w:val="22"/>
        </w:rPr>
        <w:t>mechanism for vocational qualifications.).</w:t>
      </w:r>
    </w:p>
    <w:p>
      <w:pPr>
        <w:pStyle w:val="BodyText"/>
        <w:rPr>
          <w:i/>
          <w:sz w:val="24"/>
        </w:rPr>
      </w:pPr>
    </w:p>
    <w:p>
      <w:pPr>
        <w:pStyle w:val="BodyText"/>
        <w:rPr>
          <w:i/>
          <w:sz w:val="26"/>
        </w:rPr>
      </w:pPr>
    </w:p>
    <w:p>
      <w:pPr>
        <w:pStyle w:val="Heading2"/>
        <w:numPr>
          <w:ilvl w:val="1"/>
          <w:numId w:val="5"/>
        </w:numPr>
        <w:tabs>
          <w:tab w:pos="529" w:val="left" w:leader="none"/>
        </w:tabs>
        <w:spacing w:line="240" w:lineRule="auto" w:before="0" w:after="0"/>
        <w:ind w:left="528" w:right="0" w:hanging="369"/>
        <w:jc w:val="left"/>
      </w:pPr>
      <w:bookmarkStart w:name="_TOC_250008" w:id="10"/>
      <w:r>
        <w:rPr/>
        <w:t>Continuous</w:t>
      </w:r>
      <w:r>
        <w:rPr>
          <w:spacing w:val="-3"/>
        </w:rPr>
        <w:t> </w:t>
      </w:r>
      <w:bookmarkEnd w:id="10"/>
      <w:r>
        <w:rPr/>
        <w:t>Improvement</w:t>
      </w:r>
    </w:p>
    <w:p>
      <w:pPr>
        <w:pStyle w:val="BodyText"/>
        <w:spacing w:before="11"/>
        <w:rPr>
          <w:b/>
          <w:sz w:val="28"/>
        </w:rPr>
      </w:pPr>
    </w:p>
    <w:p>
      <w:pPr>
        <w:pStyle w:val="BodyText"/>
        <w:spacing w:line="276" w:lineRule="auto"/>
        <w:ind w:left="159" w:right="102"/>
      </w:pPr>
      <w:r>
        <w:rPr/>
        <w:t>The remit of the Quality &amp; Regulatory Group is to review the outcome of all appeals to identify improvements to ILM processes, procedures, training and development. Where any failures in the assessment process are uncovered, the Group is also responsible for investigating whether other centres and/or learners could be affected and any remedial action required.</w:t>
      </w:r>
    </w:p>
    <w:p>
      <w:pPr>
        <w:pStyle w:val="BodyText"/>
        <w:spacing w:before="3"/>
        <w:rPr>
          <w:sz w:val="25"/>
        </w:rPr>
      </w:pPr>
    </w:p>
    <w:p>
      <w:pPr>
        <w:pStyle w:val="BodyText"/>
        <w:spacing w:line="276" w:lineRule="auto"/>
        <w:ind w:left="159" w:right="200"/>
      </w:pPr>
      <w:r>
        <w:rPr/>
        <w:t>We aim to improve our business processes and our responses to customers in the light of learning from the feedback we receive.</w:t>
      </w:r>
    </w:p>
    <w:p>
      <w:pPr>
        <w:pStyle w:val="BodyText"/>
        <w:spacing w:before="2"/>
        <w:rPr>
          <w:sz w:val="25"/>
        </w:rPr>
      </w:pPr>
    </w:p>
    <w:p>
      <w:pPr>
        <w:pStyle w:val="BodyText"/>
        <w:ind w:left="159"/>
      </w:pPr>
      <w:r>
        <w:rPr/>
        <w:t>This policy shall be the subject of a three year review cycle or as necessary.</w:t>
      </w:r>
    </w:p>
    <w:p>
      <w:pPr>
        <w:spacing w:after="0"/>
        <w:sectPr>
          <w:pgSz w:w="11910" w:h="16840"/>
          <w:pgMar w:header="749" w:footer="0" w:top="1400" w:bottom="280" w:left="520" w:right="580"/>
        </w:sectPr>
      </w:pPr>
    </w:p>
    <w:p>
      <w:pPr>
        <w:pStyle w:val="BodyText"/>
        <w:spacing w:before="10"/>
        <w:rPr>
          <w:sz w:val="17"/>
        </w:rPr>
      </w:pPr>
    </w:p>
    <w:p>
      <w:pPr>
        <w:pStyle w:val="Heading1"/>
        <w:spacing w:line="276" w:lineRule="auto" w:before="88"/>
        <w:ind w:right="2650"/>
      </w:pPr>
      <w:bookmarkStart w:name="_TOC_250007" w:id="11"/>
      <w:bookmarkEnd w:id="11"/>
      <w:r>
        <w:rPr>
          <w:color w:val="5A646A"/>
        </w:rPr>
        <w:t>ILM Assessment Marks Enquiries Policy – Subset Appeals</w:t>
      </w:r>
    </w:p>
    <w:p>
      <w:pPr>
        <w:pStyle w:val="BodyText"/>
        <w:spacing w:before="4"/>
        <w:rPr>
          <w:b/>
          <w:sz w:val="50"/>
        </w:rPr>
      </w:pPr>
    </w:p>
    <w:p>
      <w:pPr>
        <w:pStyle w:val="Heading2"/>
        <w:numPr>
          <w:ilvl w:val="1"/>
          <w:numId w:val="6"/>
        </w:numPr>
        <w:tabs>
          <w:tab w:pos="529" w:val="left" w:leader="none"/>
        </w:tabs>
        <w:spacing w:line="240" w:lineRule="auto" w:before="1" w:after="0"/>
        <w:ind w:left="528" w:right="0" w:hanging="369"/>
        <w:jc w:val="left"/>
      </w:pPr>
      <w:bookmarkStart w:name="_TOC_250006" w:id="12"/>
      <w:bookmarkEnd w:id="12"/>
      <w:r>
        <w:rPr/>
        <w:t>Scope</w:t>
      </w:r>
    </w:p>
    <w:p>
      <w:pPr>
        <w:pStyle w:val="BodyText"/>
        <w:spacing w:before="10"/>
        <w:rPr>
          <w:b/>
          <w:sz w:val="28"/>
        </w:rPr>
      </w:pPr>
    </w:p>
    <w:p>
      <w:pPr>
        <w:pStyle w:val="BodyText"/>
        <w:spacing w:line="276" w:lineRule="auto"/>
        <w:ind w:left="159" w:right="175"/>
      </w:pPr>
      <w:r>
        <w:rPr/>
        <w:t>This policy applies only to centres that outsource their assessing to the ILM Assessment (ILMA) service and/or offering ILM examinations marked by ILM, i.e. FAMP. The process for making an enquiry is described – although we expect a learner to follow their centre or provider’s process before referring to ILM.</w:t>
      </w:r>
    </w:p>
    <w:p>
      <w:pPr>
        <w:pStyle w:val="BodyText"/>
        <w:rPr>
          <w:sz w:val="24"/>
        </w:rPr>
      </w:pPr>
    </w:p>
    <w:p>
      <w:pPr>
        <w:pStyle w:val="BodyText"/>
        <w:spacing w:before="5"/>
        <w:rPr>
          <w:sz w:val="26"/>
        </w:rPr>
      </w:pPr>
    </w:p>
    <w:p>
      <w:pPr>
        <w:pStyle w:val="Heading2"/>
        <w:numPr>
          <w:ilvl w:val="1"/>
          <w:numId w:val="6"/>
        </w:numPr>
        <w:tabs>
          <w:tab w:pos="529" w:val="left" w:leader="none"/>
        </w:tabs>
        <w:spacing w:line="240" w:lineRule="auto" w:before="0" w:after="0"/>
        <w:ind w:left="528" w:right="0" w:hanging="369"/>
        <w:jc w:val="left"/>
      </w:pPr>
      <w:bookmarkStart w:name="_TOC_250005" w:id="13"/>
      <w:r>
        <w:rPr/>
        <w:t>Definition –</w:t>
      </w:r>
      <w:r>
        <w:rPr>
          <w:spacing w:val="-4"/>
        </w:rPr>
        <w:t> </w:t>
      </w:r>
      <w:bookmarkEnd w:id="13"/>
      <w:r>
        <w:rPr/>
        <w:t>enquiries</w:t>
      </w:r>
    </w:p>
    <w:p>
      <w:pPr>
        <w:pStyle w:val="BodyText"/>
        <w:spacing w:before="8"/>
        <w:rPr>
          <w:b/>
          <w:sz w:val="28"/>
        </w:rPr>
      </w:pPr>
    </w:p>
    <w:p>
      <w:pPr>
        <w:pStyle w:val="BodyText"/>
        <w:spacing w:line="276" w:lineRule="auto"/>
        <w:ind w:left="159" w:right="90"/>
      </w:pPr>
      <w:r>
        <w:rPr/>
        <w:t>An enquiry is, in effect, a lower-level appeal covering assessments outsourced to ILMA and ILM’s FAMP examinations. An enquiry cannot be made regarding a disagreement over a result or when you think the mark should be higher. This Enquiries Policy relates exclusively to a mistake in ILM’s marking. Where you have identified, for example, an arithmetical error or omission in the ILM’s marking for a submission, you can ask us to re-check the marks we issued. This could involve checking that all sections of the work had been marked and that the marks were added up correctly.</w:t>
      </w:r>
    </w:p>
    <w:p>
      <w:pPr>
        <w:pStyle w:val="BodyText"/>
        <w:rPr>
          <w:sz w:val="24"/>
        </w:rPr>
      </w:pPr>
    </w:p>
    <w:p>
      <w:pPr>
        <w:pStyle w:val="BodyText"/>
        <w:spacing w:before="6"/>
        <w:rPr>
          <w:sz w:val="26"/>
        </w:rPr>
      </w:pPr>
    </w:p>
    <w:p>
      <w:pPr>
        <w:pStyle w:val="Heading2"/>
        <w:numPr>
          <w:ilvl w:val="1"/>
          <w:numId w:val="7"/>
        </w:numPr>
        <w:tabs>
          <w:tab w:pos="589" w:val="left" w:leader="none"/>
        </w:tabs>
        <w:spacing w:line="240" w:lineRule="auto" w:before="0" w:after="0"/>
        <w:ind w:left="588" w:right="0" w:hanging="429"/>
        <w:jc w:val="left"/>
      </w:pPr>
      <w:bookmarkStart w:name="_TOC_250004" w:id="14"/>
      <w:r>
        <w:rPr/>
        <w:t>Out of</w:t>
      </w:r>
      <w:r>
        <w:rPr>
          <w:spacing w:val="1"/>
        </w:rPr>
        <w:t> </w:t>
      </w:r>
      <w:bookmarkEnd w:id="14"/>
      <w:r>
        <w:rPr/>
        <w:t>scope</w:t>
      </w:r>
    </w:p>
    <w:p>
      <w:pPr>
        <w:pStyle w:val="BodyText"/>
        <w:spacing w:before="10"/>
        <w:rPr>
          <w:b/>
          <w:sz w:val="28"/>
        </w:rPr>
      </w:pPr>
    </w:p>
    <w:p>
      <w:pPr>
        <w:pStyle w:val="BodyText"/>
        <w:spacing w:before="1"/>
        <w:ind w:left="159"/>
      </w:pPr>
      <w:r>
        <w:rPr/>
        <w:t>There are some issues we will not investigate – essentially anything:</w:t>
      </w:r>
    </w:p>
    <w:p>
      <w:pPr>
        <w:pStyle w:val="ListParagraph"/>
        <w:numPr>
          <w:ilvl w:val="2"/>
          <w:numId w:val="7"/>
        </w:numPr>
        <w:tabs>
          <w:tab w:pos="879" w:val="left" w:leader="none"/>
          <w:tab w:pos="880" w:val="left" w:leader="none"/>
        </w:tabs>
        <w:spacing w:line="240" w:lineRule="auto" w:before="37" w:after="0"/>
        <w:ind w:left="879" w:right="0" w:hanging="360"/>
        <w:jc w:val="left"/>
        <w:rPr>
          <w:sz w:val="22"/>
        </w:rPr>
      </w:pPr>
      <w:r>
        <w:rPr>
          <w:sz w:val="22"/>
        </w:rPr>
        <w:t>challenging the result or the marking</w:t>
      </w:r>
      <w:r>
        <w:rPr>
          <w:spacing w:val="-4"/>
          <w:sz w:val="22"/>
        </w:rPr>
        <w:t> </w:t>
      </w:r>
      <w:r>
        <w:rPr>
          <w:sz w:val="22"/>
        </w:rPr>
        <w:t>standard</w:t>
      </w:r>
    </w:p>
    <w:p>
      <w:pPr>
        <w:pStyle w:val="ListParagraph"/>
        <w:numPr>
          <w:ilvl w:val="2"/>
          <w:numId w:val="7"/>
        </w:numPr>
        <w:tabs>
          <w:tab w:pos="879" w:val="left" w:leader="none"/>
          <w:tab w:pos="880" w:val="left" w:leader="none"/>
        </w:tabs>
        <w:spacing w:line="273" w:lineRule="auto" w:before="61" w:after="0"/>
        <w:ind w:left="879" w:right="273" w:hanging="360"/>
        <w:jc w:val="left"/>
        <w:rPr>
          <w:sz w:val="22"/>
        </w:rPr>
      </w:pPr>
      <w:r>
        <w:rPr>
          <w:sz w:val="22"/>
        </w:rPr>
        <w:t>submitted to us more than 30 working days after the date on which the centre notified the learner of their</w:t>
      </w:r>
      <w:r>
        <w:rPr>
          <w:spacing w:val="-2"/>
          <w:sz w:val="22"/>
        </w:rPr>
        <w:t> </w:t>
      </w:r>
      <w:r>
        <w:rPr>
          <w:sz w:val="22"/>
        </w:rPr>
        <w:t>result</w:t>
      </w:r>
    </w:p>
    <w:p>
      <w:pPr>
        <w:pStyle w:val="ListParagraph"/>
        <w:numPr>
          <w:ilvl w:val="2"/>
          <w:numId w:val="7"/>
        </w:numPr>
        <w:tabs>
          <w:tab w:pos="879" w:val="left" w:leader="none"/>
          <w:tab w:pos="880" w:val="left" w:leader="none"/>
        </w:tabs>
        <w:spacing w:line="240" w:lineRule="auto" w:before="29" w:after="0"/>
        <w:ind w:left="879" w:right="0" w:hanging="360"/>
        <w:jc w:val="left"/>
        <w:rPr>
          <w:sz w:val="22"/>
        </w:rPr>
      </w:pPr>
      <w:r>
        <w:rPr>
          <w:sz w:val="22"/>
        </w:rPr>
        <w:t>that took place before ILM received the learner’s</w:t>
      </w:r>
      <w:r>
        <w:rPr>
          <w:spacing w:val="-11"/>
          <w:sz w:val="22"/>
        </w:rPr>
        <w:t> </w:t>
      </w:r>
      <w:r>
        <w:rPr>
          <w:sz w:val="22"/>
        </w:rPr>
        <w:t>registration</w:t>
      </w:r>
    </w:p>
    <w:p>
      <w:pPr>
        <w:pStyle w:val="ListParagraph"/>
        <w:numPr>
          <w:ilvl w:val="2"/>
          <w:numId w:val="7"/>
        </w:numPr>
        <w:tabs>
          <w:tab w:pos="879" w:val="left" w:leader="none"/>
          <w:tab w:pos="880" w:val="left" w:leader="none"/>
        </w:tabs>
        <w:spacing w:line="240" w:lineRule="auto" w:before="64" w:after="0"/>
        <w:ind w:left="879" w:right="0" w:hanging="360"/>
        <w:jc w:val="left"/>
        <w:rPr>
          <w:sz w:val="22"/>
        </w:rPr>
      </w:pPr>
      <w:r>
        <w:rPr>
          <w:sz w:val="22"/>
        </w:rPr>
        <w:t>that is or should be dealt with under an employer’s disciplinary or grievance</w:t>
      </w:r>
      <w:r>
        <w:rPr>
          <w:spacing w:val="-22"/>
          <w:sz w:val="22"/>
        </w:rPr>
        <w:t> </w:t>
      </w:r>
      <w:r>
        <w:rPr>
          <w:sz w:val="22"/>
        </w:rPr>
        <w:t>procedures</w:t>
      </w:r>
    </w:p>
    <w:p>
      <w:pPr>
        <w:pStyle w:val="ListParagraph"/>
        <w:numPr>
          <w:ilvl w:val="2"/>
          <w:numId w:val="7"/>
        </w:numPr>
        <w:tabs>
          <w:tab w:pos="879" w:val="left" w:leader="none"/>
          <w:tab w:pos="880" w:val="left" w:leader="none"/>
        </w:tabs>
        <w:spacing w:line="240" w:lineRule="auto" w:before="64" w:after="0"/>
        <w:ind w:left="879" w:right="0" w:hanging="360"/>
        <w:jc w:val="left"/>
        <w:rPr>
          <w:sz w:val="22"/>
        </w:rPr>
      </w:pPr>
      <w:r>
        <w:rPr>
          <w:sz w:val="22"/>
        </w:rPr>
        <w:t>involving another awarding</w:t>
      </w:r>
      <w:r>
        <w:rPr>
          <w:spacing w:val="2"/>
          <w:sz w:val="22"/>
        </w:rPr>
        <w:t> </w:t>
      </w:r>
      <w:r>
        <w:rPr>
          <w:sz w:val="22"/>
        </w:rPr>
        <w:t>organisation</w:t>
      </w:r>
    </w:p>
    <w:p>
      <w:pPr>
        <w:pStyle w:val="ListParagraph"/>
        <w:numPr>
          <w:ilvl w:val="2"/>
          <w:numId w:val="7"/>
        </w:numPr>
        <w:tabs>
          <w:tab w:pos="879" w:val="left" w:leader="none"/>
          <w:tab w:pos="880" w:val="left" w:leader="none"/>
        </w:tabs>
        <w:spacing w:line="240" w:lineRule="auto" w:before="61" w:after="0"/>
        <w:ind w:left="879" w:right="0" w:hanging="360"/>
        <w:jc w:val="left"/>
        <w:rPr>
          <w:sz w:val="22"/>
        </w:rPr>
      </w:pPr>
      <w:r>
        <w:rPr>
          <w:sz w:val="22"/>
        </w:rPr>
        <w:t>involving points of</w:t>
      </w:r>
      <w:r>
        <w:rPr>
          <w:spacing w:val="2"/>
          <w:sz w:val="22"/>
        </w:rPr>
        <w:t> </w:t>
      </w:r>
      <w:r>
        <w:rPr>
          <w:sz w:val="22"/>
        </w:rPr>
        <w:t>law</w:t>
      </w:r>
    </w:p>
    <w:p>
      <w:pPr>
        <w:pStyle w:val="BodyText"/>
        <w:rPr>
          <w:sz w:val="26"/>
        </w:rPr>
      </w:pPr>
    </w:p>
    <w:p>
      <w:pPr>
        <w:pStyle w:val="BodyText"/>
        <w:spacing w:before="8"/>
        <w:rPr>
          <w:sz w:val="27"/>
        </w:rPr>
      </w:pPr>
    </w:p>
    <w:p>
      <w:pPr>
        <w:pStyle w:val="Heading2"/>
        <w:numPr>
          <w:ilvl w:val="1"/>
          <w:numId w:val="8"/>
        </w:numPr>
        <w:tabs>
          <w:tab w:pos="529" w:val="left" w:leader="none"/>
        </w:tabs>
        <w:spacing w:line="240" w:lineRule="auto" w:before="0" w:after="0"/>
        <w:ind w:left="528" w:right="0" w:hanging="369"/>
        <w:jc w:val="left"/>
      </w:pPr>
      <w:bookmarkStart w:name="_TOC_250003" w:id="15"/>
      <w:r>
        <w:rPr/>
        <w:t>Lodging</w:t>
      </w:r>
      <w:r>
        <w:rPr>
          <w:spacing w:val="-1"/>
        </w:rPr>
        <w:t> </w:t>
      </w:r>
      <w:bookmarkEnd w:id="15"/>
      <w:r>
        <w:rPr/>
        <w:t>enquiries</w:t>
      </w:r>
    </w:p>
    <w:p>
      <w:pPr>
        <w:pStyle w:val="BodyText"/>
        <w:spacing w:before="11"/>
        <w:rPr>
          <w:b/>
          <w:sz w:val="28"/>
        </w:rPr>
      </w:pPr>
    </w:p>
    <w:p>
      <w:pPr>
        <w:pStyle w:val="BodyText"/>
        <w:spacing w:line="276" w:lineRule="auto"/>
        <w:ind w:left="159" w:right="222"/>
      </w:pPr>
      <w:r>
        <w:rPr/>
        <w:t>You must make your results enquiry to the Chief Assessor by emailing </w:t>
      </w:r>
      <w:hyperlink r:id="rId9">
        <w:r>
          <w:rPr>
            <w:color w:val="0000FF"/>
            <w:u w:val="single" w:color="0000FF"/>
          </w:rPr>
          <w:t>ilmassessment@i-l-m.com</w:t>
        </w:r>
        <w:r>
          <w:rPr>
            <w:color w:val="0000FF"/>
          </w:rPr>
          <w:t> </w:t>
        </w:r>
      </w:hyperlink>
      <w:r>
        <w:rPr/>
        <w:t>within 30 days of results being issued, specifying which learner and which piece of ILM assessed work you’re enquiring about. The Chief Assessor will check the marks or will appoint an independent person (e.g. different Lead Assessor) to do so.</w:t>
      </w:r>
    </w:p>
    <w:p>
      <w:pPr>
        <w:pStyle w:val="BodyText"/>
        <w:rPr>
          <w:sz w:val="24"/>
        </w:rPr>
      </w:pPr>
    </w:p>
    <w:p>
      <w:pPr>
        <w:pStyle w:val="BodyText"/>
        <w:spacing w:before="3"/>
        <w:rPr>
          <w:sz w:val="26"/>
        </w:rPr>
      </w:pPr>
    </w:p>
    <w:p>
      <w:pPr>
        <w:pStyle w:val="Heading2"/>
        <w:numPr>
          <w:ilvl w:val="1"/>
          <w:numId w:val="8"/>
        </w:numPr>
        <w:tabs>
          <w:tab w:pos="527" w:val="left" w:leader="none"/>
        </w:tabs>
        <w:spacing w:line="240" w:lineRule="auto" w:before="0" w:after="0"/>
        <w:ind w:left="526" w:right="0" w:hanging="367"/>
        <w:jc w:val="left"/>
      </w:pPr>
      <w:bookmarkStart w:name="_TOC_250002" w:id="16"/>
      <w:bookmarkEnd w:id="16"/>
      <w:r>
        <w:rPr/>
        <w:t>Outcome</w:t>
      </w:r>
    </w:p>
    <w:p>
      <w:pPr>
        <w:pStyle w:val="BodyText"/>
        <w:spacing w:before="9"/>
        <w:rPr>
          <w:b/>
          <w:sz w:val="28"/>
        </w:rPr>
      </w:pPr>
    </w:p>
    <w:p>
      <w:pPr>
        <w:pStyle w:val="BodyText"/>
        <w:ind w:left="159"/>
      </w:pPr>
      <w:r>
        <w:rPr/>
        <w:t>We will provide a response to you within 30 working days – possibly a brief report on the outcome.</w:t>
      </w:r>
    </w:p>
    <w:p>
      <w:pPr>
        <w:spacing w:after="0"/>
        <w:sectPr>
          <w:pgSz w:w="11910" w:h="16840"/>
          <w:pgMar w:header="749" w:footer="0" w:top="1400" w:bottom="280" w:left="520" w:right="580"/>
        </w:sectPr>
      </w:pPr>
    </w:p>
    <w:p>
      <w:pPr>
        <w:pStyle w:val="BodyText"/>
        <w:spacing w:before="3"/>
        <w:rPr>
          <w:sz w:val="17"/>
        </w:rPr>
      </w:pPr>
    </w:p>
    <w:p>
      <w:pPr>
        <w:pStyle w:val="Heading2"/>
        <w:numPr>
          <w:ilvl w:val="1"/>
          <w:numId w:val="8"/>
        </w:numPr>
        <w:tabs>
          <w:tab w:pos="532" w:val="left" w:leader="none"/>
        </w:tabs>
        <w:spacing w:line="240" w:lineRule="auto" w:before="93" w:after="0"/>
        <w:ind w:left="531" w:right="0" w:hanging="372"/>
        <w:jc w:val="left"/>
      </w:pPr>
      <w:bookmarkStart w:name="_TOC_250001" w:id="17"/>
      <w:bookmarkEnd w:id="17"/>
      <w:r>
        <w:rPr/>
        <w:t>Action</w:t>
      </w:r>
    </w:p>
    <w:p>
      <w:pPr>
        <w:pStyle w:val="BodyText"/>
        <w:spacing w:before="11"/>
        <w:rPr>
          <w:b/>
          <w:sz w:val="28"/>
        </w:rPr>
      </w:pPr>
    </w:p>
    <w:p>
      <w:pPr>
        <w:pStyle w:val="BodyText"/>
        <w:spacing w:line="276" w:lineRule="auto"/>
        <w:ind w:left="159" w:right="114"/>
      </w:pPr>
      <w:r>
        <w:rPr/>
        <w:t>If your results enquiry shows that errors were made in the marking process, we will change the recorded mark and issue a new mark sheet. Re-checking the marks is free of charge, but if you want us to re-assess the work or re-mark test papers, you need to use our Appeals Policy and pay the appropriate re-assessment fee. Please note we won’t return marked test papers, mark sheets or marked assessments to the centre.</w:t>
      </w:r>
    </w:p>
    <w:p>
      <w:pPr>
        <w:pStyle w:val="BodyText"/>
        <w:rPr>
          <w:sz w:val="24"/>
        </w:rPr>
      </w:pPr>
    </w:p>
    <w:p>
      <w:pPr>
        <w:pStyle w:val="BodyText"/>
        <w:spacing w:before="3"/>
        <w:rPr>
          <w:sz w:val="26"/>
        </w:rPr>
      </w:pPr>
    </w:p>
    <w:p>
      <w:pPr>
        <w:pStyle w:val="Heading2"/>
        <w:numPr>
          <w:ilvl w:val="1"/>
          <w:numId w:val="8"/>
        </w:numPr>
        <w:tabs>
          <w:tab w:pos="529" w:val="left" w:leader="none"/>
        </w:tabs>
        <w:spacing w:line="240" w:lineRule="auto" w:before="1" w:after="0"/>
        <w:ind w:left="528" w:right="0" w:hanging="369"/>
        <w:jc w:val="left"/>
      </w:pPr>
      <w:bookmarkStart w:name="_TOC_250000" w:id="18"/>
      <w:r>
        <w:rPr/>
        <w:t>Continuous</w:t>
      </w:r>
      <w:r>
        <w:rPr>
          <w:spacing w:val="-3"/>
        </w:rPr>
        <w:t> </w:t>
      </w:r>
      <w:bookmarkEnd w:id="18"/>
      <w:r>
        <w:rPr/>
        <w:t>Improvement</w:t>
      </w:r>
    </w:p>
    <w:p>
      <w:pPr>
        <w:pStyle w:val="BodyText"/>
        <w:spacing w:before="8"/>
        <w:rPr>
          <w:b/>
          <w:sz w:val="28"/>
        </w:rPr>
      </w:pPr>
    </w:p>
    <w:p>
      <w:pPr>
        <w:pStyle w:val="BodyText"/>
        <w:spacing w:line="276" w:lineRule="auto"/>
        <w:ind w:left="159" w:right="395"/>
      </w:pPr>
      <w:r>
        <w:rPr/>
        <w:t>The remit of the Quality &amp; Regulatory Group is to review the outcome of all enquiries to identify improvements to ILM processes, procedures, training and development. Where any failures in the assessment process are uncovered, the Group is also responsible for investigating whether other centres and/or learners could be affected and any remedial action required.</w:t>
      </w:r>
    </w:p>
    <w:sectPr>
      <w:pgSz w:w="11910" w:h="16840"/>
      <w:pgMar w:header="749" w:footer="0" w:top="1400" w:bottom="280" w:left="5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1.929993pt;margin-top:36.439983pt;width:51.4pt;height:13.05pt;mso-position-horizontal-relative:page;mso-position-vertical-relative:page;z-index:-8968"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2</w:t>
                </w:r>
                <w:r>
                  <w:rPr/>
                  <w:fldChar w:fldCharType="end"/>
                </w:r>
                <w:r>
                  <w:rPr>
                    <w:rFonts w:ascii="Calibri"/>
                    <w:b/>
                    <w:sz w:val="22"/>
                  </w:rPr>
                  <w:t> </w:t>
                </w:r>
                <w:r>
                  <w:rPr>
                    <w:rFonts w:ascii="Calibri"/>
                    <w:sz w:val="22"/>
                  </w:rPr>
                  <w:t>of </w:t>
                </w:r>
                <w:r>
                  <w:rPr>
                    <w:rFonts w:ascii="Calibri"/>
                    <w:b/>
                    <w:sz w:val="22"/>
                  </w:rPr>
                  <w:t>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2"/>
      <w:numFmt w:val="decimal"/>
      <w:lvlText w:val="%1"/>
      <w:lvlJc w:val="left"/>
      <w:pPr>
        <w:ind w:left="528" w:hanging="370"/>
        <w:jc w:val="left"/>
      </w:pPr>
      <w:rPr>
        <w:rFonts w:hint="default"/>
        <w:lang w:val="en-gb" w:eastAsia="en-gb" w:bidi="en-gb"/>
      </w:rPr>
    </w:lvl>
    <w:lvl w:ilvl="1">
      <w:start w:val="4"/>
      <w:numFmt w:val="decimal"/>
      <w:lvlText w:val="%1.%2"/>
      <w:lvlJc w:val="left"/>
      <w:pPr>
        <w:ind w:left="528" w:hanging="370"/>
        <w:jc w:val="left"/>
      </w:pPr>
      <w:rPr>
        <w:rFonts w:hint="default" w:ascii="Arial" w:hAnsi="Arial" w:eastAsia="Arial" w:cs="Arial"/>
        <w:b/>
        <w:bCs/>
        <w:w w:val="100"/>
        <w:sz w:val="22"/>
        <w:szCs w:val="22"/>
        <w:lang w:val="en-gb" w:eastAsia="en-gb" w:bidi="en-gb"/>
      </w:rPr>
    </w:lvl>
    <w:lvl w:ilvl="2">
      <w:start w:val="0"/>
      <w:numFmt w:val="bullet"/>
      <w:lvlText w:val="•"/>
      <w:lvlJc w:val="left"/>
      <w:pPr>
        <w:ind w:left="2577" w:hanging="370"/>
      </w:pPr>
      <w:rPr>
        <w:rFonts w:hint="default"/>
        <w:lang w:val="en-gb" w:eastAsia="en-gb" w:bidi="en-gb"/>
      </w:rPr>
    </w:lvl>
    <w:lvl w:ilvl="3">
      <w:start w:val="0"/>
      <w:numFmt w:val="bullet"/>
      <w:lvlText w:val="•"/>
      <w:lvlJc w:val="left"/>
      <w:pPr>
        <w:ind w:left="3605" w:hanging="370"/>
      </w:pPr>
      <w:rPr>
        <w:rFonts w:hint="default"/>
        <w:lang w:val="en-gb" w:eastAsia="en-gb" w:bidi="en-gb"/>
      </w:rPr>
    </w:lvl>
    <w:lvl w:ilvl="4">
      <w:start w:val="0"/>
      <w:numFmt w:val="bullet"/>
      <w:lvlText w:val="•"/>
      <w:lvlJc w:val="left"/>
      <w:pPr>
        <w:ind w:left="4634" w:hanging="370"/>
      </w:pPr>
      <w:rPr>
        <w:rFonts w:hint="default"/>
        <w:lang w:val="en-gb" w:eastAsia="en-gb" w:bidi="en-gb"/>
      </w:rPr>
    </w:lvl>
    <w:lvl w:ilvl="5">
      <w:start w:val="0"/>
      <w:numFmt w:val="bullet"/>
      <w:lvlText w:val="•"/>
      <w:lvlJc w:val="left"/>
      <w:pPr>
        <w:ind w:left="5663" w:hanging="370"/>
      </w:pPr>
      <w:rPr>
        <w:rFonts w:hint="default"/>
        <w:lang w:val="en-gb" w:eastAsia="en-gb" w:bidi="en-gb"/>
      </w:rPr>
    </w:lvl>
    <w:lvl w:ilvl="6">
      <w:start w:val="0"/>
      <w:numFmt w:val="bullet"/>
      <w:lvlText w:val="•"/>
      <w:lvlJc w:val="left"/>
      <w:pPr>
        <w:ind w:left="6691" w:hanging="370"/>
      </w:pPr>
      <w:rPr>
        <w:rFonts w:hint="default"/>
        <w:lang w:val="en-gb" w:eastAsia="en-gb" w:bidi="en-gb"/>
      </w:rPr>
    </w:lvl>
    <w:lvl w:ilvl="7">
      <w:start w:val="0"/>
      <w:numFmt w:val="bullet"/>
      <w:lvlText w:val="•"/>
      <w:lvlJc w:val="left"/>
      <w:pPr>
        <w:ind w:left="7720" w:hanging="370"/>
      </w:pPr>
      <w:rPr>
        <w:rFonts w:hint="default"/>
        <w:lang w:val="en-gb" w:eastAsia="en-gb" w:bidi="en-gb"/>
      </w:rPr>
    </w:lvl>
    <w:lvl w:ilvl="8">
      <w:start w:val="0"/>
      <w:numFmt w:val="bullet"/>
      <w:lvlText w:val="•"/>
      <w:lvlJc w:val="left"/>
      <w:pPr>
        <w:ind w:left="8749" w:hanging="370"/>
      </w:pPr>
      <w:rPr>
        <w:rFonts w:hint="default"/>
        <w:lang w:val="en-gb" w:eastAsia="en-gb" w:bidi="en-gb"/>
      </w:rPr>
    </w:lvl>
  </w:abstractNum>
  <w:abstractNum w:abstractNumId="6">
    <w:multiLevelType w:val="hybridMultilevel"/>
    <w:lvl w:ilvl="0">
      <w:start w:val="2"/>
      <w:numFmt w:val="decimal"/>
      <w:lvlText w:val="%1"/>
      <w:lvlJc w:val="left"/>
      <w:pPr>
        <w:ind w:left="588" w:hanging="430"/>
        <w:jc w:val="left"/>
      </w:pPr>
      <w:rPr>
        <w:rFonts w:hint="default"/>
        <w:lang w:val="en-gb" w:eastAsia="en-gb" w:bidi="en-gb"/>
      </w:rPr>
    </w:lvl>
    <w:lvl w:ilvl="1">
      <w:start w:val="3"/>
      <w:numFmt w:val="decimal"/>
      <w:lvlText w:val="%1.%2."/>
      <w:lvlJc w:val="left"/>
      <w:pPr>
        <w:ind w:left="588" w:hanging="430"/>
        <w:jc w:val="left"/>
      </w:pPr>
      <w:rPr>
        <w:rFonts w:hint="default" w:ascii="Arial" w:hAnsi="Arial" w:eastAsia="Arial" w:cs="Arial"/>
        <w:b/>
        <w:bCs/>
        <w:w w:val="100"/>
        <w:sz w:val="22"/>
        <w:szCs w:val="22"/>
        <w:lang w:val="en-gb" w:eastAsia="en-gb" w:bidi="en-gb"/>
      </w:rPr>
    </w:lvl>
    <w:lvl w:ilvl="2">
      <w:start w:val="0"/>
      <w:numFmt w:val="bullet"/>
      <w:lvlText w:val=""/>
      <w:lvlJc w:val="left"/>
      <w:pPr>
        <w:ind w:left="879" w:hanging="361"/>
      </w:pPr>
      <w:rPr>
        <w:rFonts w:hint="default" w:ascii="Symbol" w:hAnsi="Symbol" w:eastAsia="Symbol" w:cs="Symbol"/>
        <w:w w:val="100"/>
        <w:sz w:val="22"/>
        <w:szCs w:val="22"/>
        <w:lang w:val="en-gb" w:eastAsia="en-gb" w:bidi="en-gb"/>
      </w:rPr>
    </w:lvl>
    <w:lvl w:ilvl="3">
      <w:start w:val="0"/>
      <w:numFmt w:val="bullet"/>
      <w:lvlText w:val="•"/>
      <w:lvlJc w:val="left"/>
      <w:pPr>
        <w:ind w:left="3085" w:hanging="361"/>
      </w:pPr>
      <w:rPr>
        <w:rFonts w:hint="default"/>
        <w:lang w:val="en-gb" w:eastAsia="en-gb" w:bidi="en-gb"/>
      </w:rPr>
    </w:lvl>
    <w:lvl w:ilvl="4">
      <w:start w:val="0"/>
      <w:numFmt w:val="bullet"/>
      <w:lvlText w:val="•"/>
      <w:lvlJc w:val="left"/>
      <w:pPr>
        <w:ind w:left="4188" w:hanging="361"/>
      </w:pPr>
      <w:rPr>
        <w:rFonts w:hint="default"/>
        <w:lang w:val="en-gb" w:eastAsia="en-gb" w:bidi="en-gb"/>
      </w:rPr>
    </w:lvl>
    <w:lvl w:ilvl="5">
      <w:start w:val="0"/>
      <w:numFmt w:val="bullet"/>
      <w:lvlText w:val="•"/>
      <w:lvlJc w:val="left"/>
      <w:pPr>
        <w:ind w:left="5291" w:hanging="361"/>
      </w:pPr>
      <w:rPr>
        <w:rFonts w:hint="default"/>
        <w:lang w:val="en-gb" w:eastAsia="en-gb" w:bidi="en-gb"/>
      </w:rPr>
    </w:lvl>
    <w:lvl w:ilvl="6">
      <w:start w:val="0"/>
      <w:numFmt w:val="bullet"/>
      <w:lvlText w:val="•"/>
      <w:lvlJc w:val="left"/>
      <w:pPr>
        <w:ind w:left="6394" w:hanging="361"/>
      </w:pPr>
      <w:rPr>
        <w:rFonts w:hint="default"/>
        <w:lang w:val="en-gb" w:eastAsia="en-gb" w:bidi="en-gb"/>
      </w:rPr>
    </w:lvl>
    <w:lvl w:ilvl="7">
      <w:start w:val="0"/>
      <w:numFmt w:val="bullet"/>
      <w:lvlText w:val="•"/>
      <w:lvlJc w:val="left"/>
      <w:pPr>
        <w:ind w:left="7497" w:hanging="361"/>
      </w:pPr>
      <w:rPr>
        <w:rFonts w:hint="default"/>
        <w:lang w:val="en-gb" w:eastAsia="en-gb" w:bidi="en-gb"/>
      </w:rPr>
    </w:lvl>
    <w:lvl w:ilvl="8">
      <w:start w:val="0"/>
      <w:numFmt w:val="bullet"/>
      <w:lvlText w:val="•"/>
      <w:lvlJc w:val="left"/>
      <w:pPr>
        <w:ind w:left="8600" w:hanging="361"/>
      </w:pPr>
      <w:rPr>
        <w:rFonts w:hint="default"/>
        <w:lang w:val="en-gb" w:eastAsia="en-gb" w:bidi="en-gb"/>
      </w:rPr>
    </w:lvl>
  </w:abstractNum>
  <w:abstractNum w:abstractNumId="5">
    <w:multiLevelType w:val="hybridMultilevel"/>
    <w:lvl w:ilvl="0">
      <w:start w:val="2"/>
      <w:numFmt w:val="decimal"/>
      <w:lvlText w:val="%1"/>
      <w:lvlJc w:val="left"/>
      <w:pPr>
        <w:ind w:left="528" w:hanging="370"/>
        <w:jc w:val="left"/>
      </w:pPr>
      <w:rPr>
        <w:rFonts w:hint="default"/>
        <w:lang w:val="en-gb" w:eastAsia="en-gb" w:bidi="en-gb"/>
      </w:rPr>
    </w:lvl>
    <w:lvl w:ilvl="1">
      <w:start w:val="1"/>
      <w:numFmt w:val="decimal"/>
      <w:lvlText w:val="%1.%2"/>
      <w:lvlJc w:val="left"/>
      <w:pPr>
        <w:ind w:left="528" w:hanging="370"/>
        <w:jc w:val="left"/>
      </w:pPr>
      <w:rPr>
        <w:rFonts w:hint="default" w:ascii="Arial" w:hAnsi="Arial" w:eastAsia="Arial" w:cs="Arial"/>
        <w:b/>
        <w:bCs/>
        <w:w w:val="100"/>
        <w:sz w:val="22"/>
        <w:szCs w:val="22"/>
        <w:lang w:val="en-gb" w:eastAsia="en-gb" w:bidi="en-gb"/>
      </w:rPr>
    </w:lvl>
    <w:lvl w:ilvl="2">
      <w:start w:val="0"/>
      <w:numFmt w:val="bullet"/>
      <w:lvlText w:val="•"/>
      <w:lvlJc w:val="left"/>
      <w:pPr>
        <w:ind w:left="2577" w:hanging="370"/>
      </w:pPr>
      <w:rPr>
        <w:rFonts w:hint="default"/>
        <w:lang w:val="en-gb" w:eastAsia="en-gb" w:bidi="en-gb"/>
      </w:rPr>
    </w:lvl>
    <w:lvl w:ilvl="3">
      <w:start w:val="0"/>
      <w:numFmt w:val="bullet"/>
      <w:lvlText w:val="•"/>
      <w:lvlJc w:val="left"/>
      <w:pPr>
        <w:ind w:left="3605" w:hanging="370"/>
      </w:pPr>
      <w:rPr>
        <w:rFonts w:hint="default"/>
        <w:lang w:val="en-gb" w:eastAsia="en-gb" w:bidi="en-gb"/>
      </w:rPr>
    </w:lvl>
    <w:lvl w:ilvl="4">
      <w:start w:val="0"/>
      <w:numFmt w:val="bullet"/>
      <w:lvlText w:val="•"/>
      <w:lvlJc w:val="left"/>
      <w:pPr>
        <w:ind w:left="4634" w:hanging="370"/>
      </w:pPr>
      <w:rPr>
        <w:rFonts w:hint="default"/>
        <w:lang w:val="en-gb" w:eastAsia="en-gb" w:bidi="en-gb"/>
      </w:rPr>
    </w:lvl>
    <w:lvl w:ilvl="5">
      <w:start w:val="0"/>
      <w:numFmt w:val="bullet"/>
      <w:lvlText w:val="•"/>
      <w:lvlJc w:val="left"/>
      <w:pPr>
        <w:ind w:left="5663" w:hanging="370"/>
      </w:pPr>
      <w:rPr>
        <w:rFonts w:hint="default"/>
        <w:lang w:val="en-gb" w:eastAsia="en-gb" w:bidi="en-gb"/>
      </w:rPr>
    </w:lvl>
    <w:lvl w:ilvl="6">
      <w:start w:val="0"/>
      <w:numFmt w:val="bullet"/>
      <w:lvlText w:val="•"/>
      <w:lvlJc w:val="left"/>
      <w:pPr>
        <w:ind w:left="6691" w:hanging="370"/>
      </w:pPr>
      <w:rPr>
        <w:rFonts w:hint="default"/>
        <w:lang w:val="en-gb" w:eastAsia="en-gb" w:bidi="en-gb"/>
      </w:rPr>
    </w:lvl>
    <w:lvl w:ilvl="7">
      <w:start w:val="0"/>
      <w:numFmt w:val="bullet"/>
      <w:lvlText w:val="•"/>
      <w:lvlJc w:val="left"/>
      <w:pPr>
        <w:ind w:left="7720" w:hanging="370"/>
      </w:pPr>
      <w:rPr>
        <w:rFonts w:hint="default"/>
        <w:lang w:val="en-gb" w:eastAsia="en-gb" w:bidi="en-gb"/>
      </w:rPr>
    </w:lvl>
    <w:lvl w:ilvl="8">
      <w:start w:val="0"/>
      <w:numFmt w:val="bullet"/>
      <w:lvlText w:val="•"/>
      <w:lvlJc w:val="left"/>
      <w:pPr>
        <w:ind w:left="8749" w:hanging="370"/>
      </w:pPr>
      <w:rPr>
        <w:rFonts w:hint="default"/>
        <w:lang w:val="en-gb" w:eastAsia="en-gb" w:bidi="en-gb"/>
      </w:rPr>
    </w:lvl>
  </w:abstractNum>
  <w:abstractNum w:abstractNumId="4">
    <w:multiLevelType w:val="hybridMultilevel"/>
    <w:lvl w:ilvl="0">
      <w:start w:val="1"/>
      <w:numFmt w:val="decimal"/>
      <w:lvlText w:val="%1"/>
      <w:lvlJc w:val="left"/>
      <w:pPr>
        <w:ind w:left="528" w:hanging="370"/>
        <w:jc w:val="left"/>
      </w:pPr>
      <w:rPr>
        <w:rFonts w:hint="default"/>
        <w:lang w:val="en-gb" w:eastAsia="en-gb" w:bidi="en-gb"/>
      </w:rPr>
    </w:lvl>
    <w:lvl w:ilvl="1">
      <w:start w:val="8"/>
      <w:numFmt w:val="decimal"/>
      <w:lvlText w:val="%1.%2"/>
      <w:lvlJc w:val="left"/>
      <w:pPr>
        <w:ind w:left="528" w:hanging="370"/>
        <w:jc w:val="left"/>
      </w:pPr>
      <w:rPr>
        <w:rFonts w:hint="default" w:ascii="Arial" w:hAnsi="Arial" w:eastAsia="Arial" w:cs="Arial"/>
        <w:b/>
        <w:bCs/>
        <w:w w:val="100"/>
        <w:sz w:val="22"/>
        <w:szCs w:val="22"/>
        <w:lang w:val="en-gb" w:eastAsia="en-gb" w:bidi="en-gb"/>
      </w:rPr>
    </w:lvl>
    <w:lvl w:ilvl="2">
      <w:start w:val="0"/>
      <w:numFmt w:val="bullet"/>
      <w:lvlText w:val="•"/>
      <w:lvlJc w:val="left"/>
      <w:pPr>
        <w:ind w:left="2577" w:hanging="370"/>
      </w:pPr>
      <w:rPr>
        <w:rFonts w:hint="default"/>
        <w:lang w:val="en-gb" w:eastAsia="en-gb" w:bidi="en-gb"/>
      </w:rPr>
    </w:lvl>
    <w:lvl w:ilvl="3">
      <w:start w:val="0"/>
      <w:numFmt w:val="bullet"/>
      <w:lvlText w:val="•"/>
      <w:lvlJc w:val="left"/>
      <w:pPr>
        <w:ind w:left="3605" w:hanging="370"/>
      </w:pPr>
      <w:rPr>
        <w:rFonts w:hint="default"/>
        <w:lang w:val="en-gb" w:eastAsia="en-gb" w:bidi="en-gb"/>
      </w:rPr>
    </w:lvl>
    <w:lvl w:ilvl="4">
      <w:start w:val="0"/>
      <w:numFmt w:val="bullet"/>
      <w:lvlText w:val="•"/>
      <w:lvlJc w:val="left"/>
      <w:pPr>
        <w:ind w:left="4634" w:hanging="370"/>
      </w:pPr>
      <w:rPr>
        <w:rFonts w:hint="default"/>
        <w:lang w:val="en-gb" w:eastAsia="en-gb" w:bidi="en-gb"/>
      </w:rPr>
    </w:lvl>
    <w:lvl w:ilvl="5">
      <w:start w:val="0"/>
      <w:numFmt w:val="bullet"/>
      <w:lvlText w:val="•"/>
      <w:lvlJc w:val="left"/>
      <w:pPr>
        <w:ind w:left="5663" w:hanging="370"/>
      </w:pPr>
      <w:rPr>
        <w:rFonts w:hint="default"/>
        <w:lang w:val="en-gb" w:eastAsia="en-gb" w:bidi="en-gb"/>
      </w:rPr>
    </w:lvl>
    <w:lvl w:ilvl="6">
      <w:start w:val="0"/>
      <w:numFmt w:val="bullet"/>
      <w:lvlText w:val="•"/>
      <w:lvlJc w:val="left"/>
      <w:pPr>
        <w:ind w:left="6691" w:hanging="370"/>
      </w:pPr>
      <w:rPr>
        <w:rFonts w:hint="default"/>
        <w:lang w:val="en-gb" w:eastAsia="en-gb" w:bidi="en-gb"/>
      </w:rPr>
    </w:lvl>
    <w:lvl w:ilvl="7">
      <w:start w:val="0"/>
      <w:numFmt w:val="bullet"/>
      <w:lvlText w:val="•"/>
      <w:lvlJc w:val="left"/>
      <w:pPr>
        <w:ind w:left="7720" w:hanging="370"/>
      </w:pPr>
      <w:rPr>
        <w:rFonts w:hint="default"/>
        <w:lang w:val="en-gb" w:eastAsia="en-gb" w:bidi="en-gb"/>
      </w:rPr>
    </w:lvl>
    <w:lvl w:ilvl="8">
      <w:start w:val="0"/>
      <w:numFmt w:val="bullet"/>
      <w:lvlText w:val="•"/>
      <w:lvlJc w:val="left"/>
      <w:pPr>
        <w:ind w:left="8749" w:hanging="370"/>
      </w:pPr>
      <w:rPr>
        <w:rFonts w:hint="default"/>
        <w:lang w:val="en-gb" w:eastAsia="en-gb" w:bidi="en-gb"/>
      </w:rPr>
    </w:lvl>
  </w:abstractNum>
  <w:abstractNum w:abstractNumId="3">
    <w:multiLevelType w:val="hybridMultilevel"/>
    <w:lvl w:ilvl="0">
      <w:start w:val="1"/>
      <w:numFmt w:val="decimal"/>
      <w:lvlText w:val="%1"/>
      <w:lvlJc w:val="left"/>
      <w:pPr>
        <w:ind w:left="710" w:hanging="552"/>
        <w:jc w:val="left"/>
      </w:pPr>
      <w:rPr>
        <w:rFonts w:hint="default"/>
        <w:lang w:val="en-gb" w:eastAsia="en-gb" w:bidi="en-gb"/>
      </w:rPr>
    </w:lvl>
    <w:lvl w:ilvl="1">
      <w:start w:val="7"/>
      <w:numFmt w:val="decimal"/>
      <w:lvlText w:val="%1.%2"/>
      <w:lvlJc w:val="left"/>
      <w:pPr>
        <w:ind w:left="710" w:hanging="552"/>
        <w:jc w:val="left"/>
      </w:pPr>
      <w:rPr>
        <w:rFonts w:hint="default"/>
        <w:lang w:val="en-gb" w:eastAsia="en-gb" w:bidi="en-gb"/>
      </w:rPr>
    </w:lvl>
    <w:lvl w:ilvl="2">
      <w:start w:val="1"/>
      <w:numFmt w:val="decimal"/>
      <w:lvlText w:val="%1.%2.%3"/>
      <w:lvlJc w:val="left"/>
      <w:pPr>
        <w:ind w:left="710" w:hanging="552"/>
        <w:jc w:val="left"/>
      </w:pPr>
      <w:rPr>
        <w:rFonts w:hint="default" w:ascii="Arial" w:hAnsi="Arial" w:eastAsia="Arial" w:cs="Arial"/>
        <w:i/>
        <w:spacing w:val="-1"/>
        <w:w w:val="100"/>
        <w:sz w:val="22"/>
        <w:szCs w:val="22"/>
        <w:lang w:val="en-gb" w:eastAsia="en-gb" w:bidi="en-gb"/>
      </w:rPr>
    </w:lvl>
    <w:lvl w:ilvl="3">
      <w:start w:val="0"/>
      <w:numFmt w:val="bullet"/>
      <w:lvlText w:val="•"/>
      <w:lvlJc w:val="left"/>
      <w:pPr>
        <w:ind w:left="3745" w:hanging="552"/>
      </w:pPr>
      <w:rPr>
        <w:rFonts w:hint="default"/>
        <w:lang w:val="en-gb" w:eastAsia="en-gb" w:bidi="en-gb"/>
      </w:rPr>
    </w:lvl>
    <w:lvl w:ilvl="4">
      <w:start w:val="0"/>
      <w:numFmt w:val="bullet"/>
      <w:lvlText w:val="•"/>
      <w:lvlJc w:val="left"/>
      <w:pPr>
        <w:ind w:left="4754" w:hanging="552"/>
      </w:pPr>
      <w:rPr>
        <w:rFonts w:hint="default"/>
        <w:lang w:val="en-gb" w:eastAsia="en-gb" w:bidi="en-gb"/>
      </w:rPr>
    </w:lvl>
    <w:lvl w:ilvl="5">
      <w:start w:val="0"/>
      <w:numFmt w:val="bullet"/>
      <w:lvlText w:val="•"/>
      <w:lvlJc w:val="left"/>
      <w:pPr>
        <w:ind w:left="5763" w:hanging="552"/>
      </w:pPr>
      <w:rPr>
        <w:rFonts w:hint="default"/>
        <w:lang w:val="en-gb" w:eastAsia="en-gb" w:bidi="en-gb"/>
      </w:rPr>
    </w:lvl>
    <w:lvl w:ilvl="6">
      <w:start w:val="0"/>
      <w:numFmt w:val="bullet"/>
      <w:lvlText w:val="•"/>
      <w:lvlJc w:val="left"/>
      <w:pPr>
        <w:ind w:left="6771" w:hanging="552"/>
      </w:pPr>
      <w:rPr>
        <w:rFonts w:hint="default"/>
        <w:lang w:val="en-gb" w:eastAsia="en-gb" w:bidi="en-gb"/>
      </w:rPr>
    </w:lvl>
    <w:lvl w:ilvl="7">
      <w:start w:val="0"/>
      <w:numFmt w:val="bullet"/>
      <w:lvlText w:val="•"/>
      <w:lvlJc w:val="left"/>
      <w:pPr>
        <w:ind w:left="7780" w:hanging="552"/>
      </w:pPr>
      <w:rPr>
        <w:rFonts w:hint="default"/>
        <w:lang w:val="en-gb" w:eastAsia="en-gb" w:bidi="en-gb"/>
      </w:rPr>
    </w:lvl>
    <w:lvl w:ilvl="8">
      <w:start w:val="0"/>
      <w:numFmt w:val="bullet"/>
      <w:lvlText w:val="•"/>
      <w:lvlJc w:val="left"/>
      <w:pPr>
        <w:ind w:left="8789" w:hanging="552"/>
      </w:pPr>
      <w:rPr>
        <w:rFonts w:hint="default"/>
        <w:lang w:val="en-gb" w:eastAsia="en-gb" w:bidi="en-gb"/>
      </w:rPr>
    </w:lvl>
  </w:abstractNum>
  <w:abstractNum w:abstractNumId="2">
    <w:multiLevelType w:val="hybridMultilevel"/>
    <w:lvl w:ilvl="0">
      <w:start w:val="1"/>
      <w:numFmt w:val="decimal"/>
      <w:lvlText w:val="%1"/>
      <w:lvlJc w:val="left"/>
      <w:pPr>
        <w:ind w:left="528" w:hanging="370"/>
        <w:jc w:val="left"/>
      </w:pPr>
      <w:rPr>
        <w:rFonts w:hint="default"/>
        <w:lang w:val="en-gb" w:eastAsia="en-gb" w:bidi="en-gb"/>
      </w:rPr>
    </w:lvl>
    <w:lvl w:ilvl="1">
      <w:start w:val="1"/>
      <w:numFmt w:val="decimal"/>
      <w:lvlText w:val="%1.%2"/>
      <w:lvlJc w:val="left"/>
      <w:pPr>
        <w:ind w:left="528" w:hanging="370"/>
        <w:jc w:val="left"/>
      </w:pPr>
      <w:rPr>
        <w:rFonts w:hint="default" w:ascii="Arial" w:hAnsi="Arial" w:eastAsia="Arial" w:cs="Arial"/>
        <w:b/>
        <w:bCs/>
        <w:w w:val="100"/>
        <w:sz w:val="22"/>
        <w:szCs w:val="22"/>
        <w:lang w:val="en-gb" w:eastAsia="en-gb" w:bidi="en-gb"/>
      </w:rPr>
    </w:lvl>
    <w:lvl w:ilvl="2">
      <w:start w:val="0"/>
      <w:numFmt w:val="bullet"/>
      <w:lvlText w:val=""/>
      <w:lvlJc w:val="left"/>
      <w:pPr>
        <w:ind w:left="879" w:hanging="361"/>
      </w:pPr>
      <w:rPr>
        <w:rFonts w:hint="default" w:ascii="Symbol" w:hAnsi="Symbol" w:eastAsia="Symbol" w:cs="Symbol"/>
        <w:w w:val="100"/>
        <w:sz w:val="22"/>
        <w:szCs w:val="22"/>
        <w:lang w:val="en-gb" w:eastAsia="en-gb" w:bidi="en-gb"/>
      </w:rPr>
    </w:lvl>
    <w:lvl w:ilvl="3">
      <w:start w:val="0"/>
      <w:numFmt w:val="bullet"/>
      <w:lvlText w:val="•"/>
      <w:lvlJc w:val="left"/>
      <w:pPr>
        <w:ind w:left="3085" w:hanging="361"/>
      </w:pPr>
      <w:rPr>
        <w:rFonts w:hint="default"/>
        <w:lang w:val="en-gb" w:eastAsia="en-gb" w:bidi="en-gb"/>
      </w:rPr>
    </w:lvl>
    <w:lvl w:ilvl="4">
      <w:start w:val="0"/>
      <w:numFmt w:val="bullet"/>
      <w:lvlText w:val="•"/>
      <w:lvlJc w:val="left"/>
      <w:pPr>
        <w:ind w:left="4188" w:hanging="361"/>
      </w:pPr>
      <w:rPr>
        <w:rFonts w:hint="default"/>
        <w:lang w:val="en-gb" w:eastAsia="en-gb" w:bidi="en-gb"/>
      </w:rPr>
    </w:lvl>
    <w:lvl w:ilvl="5">
      <w:start w:val="0"/>
      <w:numFmt w:val="bullet"/>
      <w:lvlText w:val="•"/>
      <w:lvlJc w:val="left"/>
      <w:pPr>
        <w:ind w:left="5291" w:hanging="361"/>
      </w:pPr>
      <w:rPr>
        <w:rFonts w:hint="default"/>
        <w:lang w:val="en-gb" w:eastAsia="en-gb" w:bidi="en-gb"/>
      </w:rPr>
    </w:lvl>
    <w:lvl w:ilvl="6">
      <w:start w:val="0"/>
      <w:numFmt w:val="bullet"/>
      <w:lvlText w:val="•"/>
      <w:lvlJc w:val="left"/>
      <w:pPr>
        <w:ind w:left="6394" w:hanging="361"/>
      </w:pPr>
      <w:rPr>
        <w:rFonts w:hint="default"/>
        <w:lang w:val="en-gb" w:eastAsia="en-gb" w:bidi="en-gb"/>
      </w:rPr>
    </w:lvl>
    <w:lvl w:ilvl="7">
      <w:start w:val="0"/>
      <w:numFmt w:val="bullet"/>
      <w:lvlText w:val="•"/>
      <w:lvlJc w:val="left"/>
      <w:pPr>
        <w:ind w:left="7497" w:hanging="361"/>
      </w:pPr>
      <w:rPr>
        <w:rFonts w:hint="default"/>
        <w:lang w:val="en-gb" w:eastAsia="en-gb" w:bidi="en-gb"/>
      </w:rPr>
    </w:lvl>
    <w:lvl w:ilvl="8">
      <w:start w:val="0"/>
      <w:numFmt w:val="bullet"/>
      <w:lvlText w:val="•"/>
      <w:lvlJc w:val="left"/>
      <w:pPr>
        <w:ind w:left="8600" w:hanging="361"/>
      </w:pPr>
      <w:rPr>
        <w:rFonts w:hint="default"/>
        <w:lang w:val="en-gb" w:eastAsia="en-gb" w:bidi="en-gb"/>
      </w:rPr>
    </w:lvl>
  </w:abstractNum>
  <w:abstractNum w:abstractNumId="1">
    <w:multiLevelType w:val="hybridMultilevel"/>
    <w:lvl w:ilvl="0">
      <w:start w:val="2"/>
      <w:numFmt w:val="decimal"/>
      <w:lvlText w:val="%1"/>
      <w:lvlJc w:val="left"/>
      <w:pPr>
        <w:ind w:left="1074" w:hanging="423"/>
        <w:jc w:val="left"/>
      </w:pPr>
      <w:rPr>
        <w:rFonts w:hint="default"/>
        <w:lang w:val="en-gb" w:eastAsia="en-gb" w:bidi="en-gb"/>
      </w:rPr>
    </w:lvl>
    <w:lvl w:ilvl="1">
      <w:start w:val="1"/>
      <w:numFmt w:val="decimal"/>
      <w:lvlText w:val="%1.%2"/>
      <w:lvlJc w:val="left"/>
      <w:pPr>
        <w:ind w:left="1074" w:hanging="423"/>
        <w:jc w:val="left"/>
      </w:pPr>
      <w:rPr>
        <w:rFonts w:hint="default" w:ascii="Arial" w:hAnsi="Arial" w:eastAsia="Arial" w:cs="Arial"/>
        <w:w w:val="100"/>
        <w:sz w:val="22"/>
        <w:szCs w:val="22"/>
        <w:lang w:val="en-gb" w:eastAsia="en-gb" w:bidi="en-gb"/>
      </w:rPr>
    </w:lvl>
    <w:lvl w:ilvl="2">
      <w:start w:val="0"/>
      <w:numFmt w:val="bullet"/>
      <w:lvlText w:val="•"/>
      <w:lvlJc w:val="left"/>
      <w:pPr>
        <w:ind w:left="3025" w:hanging="423"/>
      </w:pPr>
      <w:rPr>
        <w:rFonts w:hint="default"/>
        <w:lang w:val="en-gb" w:eastAsia="en-gb" w:bidi="en-gb"/>
      </w:rPr>
    </w:lvl>
    <w:lvl w:ilvl="3">
      <w:start w:val="0"/>
      <w:numFmt w:val="bullet"/>
      <w:lvlText w:val="•"/>
      <w:lvlJc w:val="left"/>
      <w:pPr>
        <w:ind w:left="3997" w:hanging="423"/>
      </w:pPr>
      <w:rPr>
        <w:rFonts w:hint="default"/>
        <w:lang w:val="en-gb" w:eastAsia="en-gb" w:bidi="en-gb"/>
      </w:rPr>
    </w:lvl>
    <w:lvl w:ilvl="4">
      <w:start w:val="0"/>
      <w:numFmt w:val="bullet"/>
      <w:lvlText w:val="•"/>
      <w:lvlJc w:val="left"/>
      <w:pPr>
        <w:ind w:left="4970" w:hanging="423"/>
      </w:pPr>
      <w:rPr>
        <w:rFonts w:hint="default"/>
        <w:lang w:val="en-gb" w:eastAsia="en-gb" w:bidi="en-gb"/>
      </w:rPr>
    </w:lvl>
    <w:lvl w:ilvl="5">
      <w:start w:val="0"/>
      <w:numFmt w:val="bullet"/>
      <w:lvlText w:val="•"/>
      <w:lvlJc w:val="left"/>
      <w:pPr>
        <w:ind w:left="5943" w:hanging="423"/>
      </w:pPr>
      <w:rPr>
        <w:rFonts w:hint="default"/>
        <w:lang w:val="en-gb" w:eastAsia="en-gb" w:bidi="en-gb"/>
      </w:rPr>
    </w:lvl>
    <w:lvl w:ilvl="6">
      <w:start w:val="0"/>
      <w:numFmt w:val="bullet"/>
      <w:lvlText w:val="•"/>
      <w:lvlJc w:val="left"/>
      <w:pPr>
        <w:ind w:left="6915" w:hanging="423"/>
      </w:pPr>
      <w:rPr>
        <w:rFonts w:hint="default"/>
        <w:lang w:val="en-gb" w:eastAsia="en-gb" w:bidi="en-gb"/>
      </w:rPr>
    </w:lvl>
    <w:lvl w:ilvl="7">
      <w:start w:val="0"/>
      <w:numFmt w:val="bullet"/>
      <w:lvlText w:val="•"/>
      <w:lvlJc w:val="left"/>
      <w:pPr>
        <w:ind w:left="7888" w:hanging="423"/>
      </w:pPr>
      <w:rPr>
        <w:rFonts w:hint="default"/>
        <w:lang w:val="en-gb" w:eastAsia="en-gb" w:bidi="en-gb"/>
      </w:rPr>
    </w:lvl>
    <w:lvl w:ilvl="8">
      <w:start w:val="0"/>
      <w:numFmt w:val="bullet"/>
      <w:lvlText w:val="•"/>
      <w:lvlJc w:val="left"/>
      <w:pPr>
        <w:ind w:left="8861" w:hanging="423"/>
      </w:pPr>
      <w:rPr>
        <w:rFonts w:hint="default"/>
        <w:lang w:val="en-gb" w:eastAsia="en-gb" w:bidi="en-gb"/>
      </w:rPr>
    </w:lvl>
  </w:abstractNum>
  <w:abstractNum w:abstractNumId="0">
    <w:multiLevelType w:val="hybridMultilevel"/>
    <w:lvl w:ilvl="0">
      <w:start w:val="1"/>
      <w:numFmt w:val="decimal"/>
      <w:lvlText w:val="%1"/>
      <w:lvlJc w:val="left"/>
      <w:pPr>
        <w:ind w:left="1011" w:hanging="426"/>
        <w:jc w:val="left"/>
      </w:pPr>
      <w:rPr>
        <w:rFonts w:hint="default"/>
        <w:lang w:val="en-gb" w:eastAsia="en-gb" w:bidi="en-gb"/>
      </w:rPr>
    </w:lvl>
    <w:lvl w:ilvl="1">
      <w:start w:val="1"/>
      <w:numFmt w:val="decimal"/>
      <w:lvlText w:val="%1.%2"/>
      <w:lvlJc w:val="left"/>
      <w:pPr>
        <w:ind w:left="1011" w:hanging="426"/>
        <w:jc w:val="left"/>
      </w:pPr>
      <w:rPr>
        <w:rFonts w:hint="default" w:ascii="Arial" w:hAnsi="Arial" w:eastAsia="Arial" w:cs="Arial"/>
        <w:w w:val="100"/>
        <w:sz w:val="22"/>
        <w:szCs w:val="22"/>
        <w:lang w:val="en-gb" w:eastAsia="en-gb" w:bidi="en-gb"/>
      </w:rPr>
    </w:lvl>
    <w:lvl w:ilvl="2">
      <w:start w:val="0"/>
      <w:numFmt w:val="bullet"/>
      <w:lvlText w:val="•"/>
      <w:lvlJc w:val="left"/>
      <w:pPr>
        <w:ind w:left="2977" w:hanging="426"/>
      </w:pPr>
      <w:rPr>
        <w:rFonts w:hint="default"/>
        <w:lang w:val="en-gb" w:eastAsia="en-gb" w:bidi="en-gb"/>
      </w:rPr>
    </w:lvl>
    <w:lvl w:ilvl="3">
      <w:start w:val="0"/>
      <w:numFmt w:val="bullet"/>
      <w:lvlText w:val="•"/>
      <w:lvlJc w:val="left"/>
      <w:pPr>
        <w:ind w:left="3955" w:hanging="426"/>
      </w:pPr>
      <w:rPr>
        <w:rFonts w:hint="default"/>
        <w:lang w:val="en-gb" w:eastAsia="en-gb" w:bidi="en-gb"/>
      </w:rPr>
    </w:lvl>
    <w:lvl w:ilvl="4">
      <w:start w:val="0"/>
      <w:numFmt w:val="bullet"/>
      <w:lvlText w:val="•"/>
      <w:lvlJc w:val="left"/>
      <w:pPr>
        <w:ind w:left="4934" w:hanging="426"/>
      </w:pPr>
      <w:rPr>
        <w:rFonts w:hint="default"/>
        <w:lang w:val="en-gb" w:eastAsia="en-gb" w:bidi="en-gb"/>
      </w:rPr>
    </w:lvl>
    <w:lvl w:ilvl="5">
      <w:start w:val="0"/>
      <w:numFmt w:val="bullet"/>
      <w:lvlText w:val="•"/>
      <w:lvlJc w:val="left"/>
      <w:pPr>
        <w:ind w:left="5913" w:hanging="426"/>
      </w:pPr>
      <w:rPr>
        <w:rFonts w:hint="default"/>
        <w:lang w:val="en-gb" w:eastAsia="en-gb" w:bidi="en-gb"/>
      </w:rPr>
    </w:lvl>
    <w:lvl w:ilvl="6">
      <w:start w:val="0"/>
      <w:numFmt w:val="bullet"/>
      <w:lvlText w:val="•"/>
      <w:lvlJc w:val="left"/>
      <w:pPr>
        <w:ind w:left="6891" w:hanging="426"/>
      </w:pPr>
      <w:rPr>
        <w:rFonts w:hint="default"/>
        <w:lang w:val="en-gb" w:eastAsia="en-gb" w:bidi="en-gb"/>
      </w:rPr>
    </w:lvl>
    <w:lvl w:ilvl="7">
      <w:start w:val="0"/>
      <w:numFmt w:val="bullet"/>
      <w:lvlText w:val="•"/>
      <w:lvlJc w:val="left"/>
      <w:pPr>
        <w:ind w:left="7870" w:hanging="426"/>
      </w:pPr>
      <w:rPr>
        <w:rFonts w:hint="default"/>
        <w:lang w:val="en-gb" w:eastAsia="en-gb" w:bidi="en-gb"/>
      </w:rPr>
    </w:lvl>
    <w:lvl w:ilvl="8">
      <w:start w:val="0"/>
      <w:numFmt w:val="bullet"/>
      <w:lvlText w:val="•"/>
      <w:lvlJc w:val="left"/>
      <w:pPr>
        <w:ind w:left="8849" w:hanging="426"/>
      </w:pPr>
      <w:rPr>
        <w:rFonts w:hint="default"/>
        <w:lang w:val="en-gb" w:eastAsia="en-gb" w:bidi="en-gb"/>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TOC1" w:type="paragraph">
    <w:name w:val="TOC 1"/>
    <w:basedOn w:val="Normal"/>
    <w:uiPriority w:val="1"/>
    <w:qFormat/>
    <w:pPr>
      <w:spacing w:before="490"/>
      <w:ind w:left="159"/>
    </w:pPr>
    <w:rPr>
      <w:rFonts w:ascii="Arial" w:hAnsi="Arial" w:eastAsia="Arial" w:cs="Arial"/>
      <w:sz w:val="28"/>
      <w:szCs w:val="28"/>
      <w:lang w:val="en-gb" w:eastAsia="en-gb" w:bidi="en-gb"/>
    </w:rPr>
  </w:style>
  <w:style w:styleId="TOC2" w:type="paragraph">
    <w:name w:val="TOC 2"/>
    <w:basedOn w:val="Normal"/>
    <w:uiPriority w:val="1"/>
    <w:qFormat/>
    <w:pPr>
      <w:spacing w:before="119"/>
      <w:ind w:left="1011" w:hanging="425"/>
    </w:pPr>
    <w:rPr>
      <w:rFonts w:ascii="Arial" w:hAnsi="Arial" w:eastAsia="Arial" w:cs="Arial"/>
      <w:sz w:val="22"/>
      <w:szCs w:val="22"/>
      <w:lang w:val="en-gb" w:eastAsia="en-gb" w:bidi="en-gb"/>
    </w:rPr>
  </w:style>
  <w:style w:styleId="TOC3" w:type="paragraph">
    <w:name w:val="TOC 3"/>
    <w:basedOn w:val="Normal"/>
    <w:uiPriority w:val="1"/>
    <w:qFormat/>
    <w:pPr>
      <w:spacing w:before="119"/>
      <w:ind w:left="1074" w:hanging="423"/>
    </w:pPr>
    <w:rPr>
      <w:rFonts w:ascii="Arial" w:hAnsi="Arial" w:eastAsia="Arial" w:cs="Arial"/>
      <w:sz w:val="22"/>
      <w:szCs w:val="22"/>
      <w:lang w:val="en-gb" w:eastAsia="en-gb" w:bidi="en-gb"/>
    </w:rPr>
  </w:style>
  <w:style w:styleId="BodyText" w:type="paragraph">
    <w:name w:val="Body Text"/>
    <w:basedOn w:val="Normal"/>
    <w:uiPriority w:val="1"/>
    <w:qFormat/>
    <w:pPr/>
    <w:rPr>
      <w:rFonts w:ascii="Arial" w:hAnsi="Arial" w:eastAsia="Arial" w:cs="Arial"/>
      <w:sz w:val="22"/>
      <w:szCs w:val="22"/>
      <w:lang w:val="en-gb" w:eastAsia="en-gb" w:bidi="en-gb"/>
    </w:rPr>
  </w:style>
  <w:style w:styleId="Heading1" w:type="paragraph">
    <w:name w:val="Heading 1"/>
    <w:basedOn w:val="Normal"/>
    <w:uiPriority w:val="1"/>
    <w:qFormat/>
    <w:pPr>
      <w:spacing w:before="77"/>
      <w:ind w:left="159"/>
      <w:outlineLvl w:val="1"/>
    </w:pPr>
    <w:rPr>
      <w:rFonts w:ascii="Arial" w:hAnsi="Arial" w:eastAsia="Arial" w:cs="Arial"/>
      <w:b/>
      <w:bCs/>
      <w:sz w:val="40"/>
      <w:szCs w:val="40"/>
      <w:lang w:val="en-gb" w:eastAsia="en-gb" w:bidi="en-gb"/>
    </w:rPr>
  </w:style>
  <w:style w:styleId="Heading2" w:type="paragraph">
    <w:name w:val="Heading 2"/>
    <w:basedOn w:val="Normal"/>
    <w:uiPriority w:val="1"/>
    <w:qFormat/>
    <w:pPr>
      <w:ind w:left="528" w:hanging="369"/>
      <w:outlineLvl w:val="2"/>
    </w:pPr>
    <w:rPr>
      <w:rFonts w:ascii="Arial" w:hAnsi="Arial" w:eastAsia="Arial" w:cs="Arial"/>
      <w:b/>
      <w:bCs/>
      <w:sz w:val="22"/>
      <w:szCs w:val="22"/>
      <w:lang w:val="en-gb" w:eastAsia="en-gb" w:bidi="en-gb"/>
    </w:rPr>
  </w:style>
  <w:style w:styleId="ListParagraph" w:type="paragraph">
    <w:name w:val="List Paragraph"/>
    <w:basedOn w:val="Normal"/>
    <w:uiPriority w:val="1"/>
    <w:qFormat/>
    <w:pPr>
      <w:ind w:left="879" w:hanging="360"/>
    </w:pPr>
    <w:rPr>
      <w:rFonts w:ascii="Arial" w:hAnsi="Arial" w:eastAsia="Arial" w:cs="Arial"/>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www.i-l-m.com/fees" TargetMode="External"/><Relationship Id="rId8" Type="http://schemas.openxmlformats.org/officeDocument/2006/relationships/hyperlink" Target="mailto:ILMRegulation@i-l-m.com" TargetMode="External"/><Relationship Id="rId9" Type="http://schemas.openxmlformats.org/officeDocument/2006/relationships/hyperlink" Target="mailto:ilmassessment@i-l-m.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Mckeown</dc:creator>
  <dcterms:created xsi:type="dcterms:W3CDTF">2020-01-08T09:57:23Z</dcterms:created>
  <dcterms:modified xsi:type="dcterms:W3CDTF">2020-01-08T09:57:23Z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2012-08-31T00:00:00Z</vt:filetime>
  </property>
  <property fmtid="{D5CDD505-2E9C-101B-9397-08002B2CF9AE}" pid="3" name="Creator">
    <vt:lpwstr>Microsoft® Word 2010</vt:lpwstr>
  </property>
  <property fmtid="{D5CDD505-2E9C-101B-9397-08002B2CF9AE}" pid="4" name="LastSaved">
    <vt:filetime>2020-01-08T00:00:00Z</vt:filetime>
  </property>
</Properties>
</file>